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14:paraId="578F2056" w14:textId="77777777" w:rsidTr="00390ADD">
        <w:trPr>
          <w:trHeight w:val="3349"/>
        </w:trPr>
        <w:tc>
          <w:tcPr>
            <w:tcW w:w="4758" w:type="dxa"/>
          </w:tcPr>
          <w:p w14:paraId="10C1A4CF" w14:textId="77777777" w:rsidR="00390ADD" w:rsidRPr="00A2330C" w:rsidRDefault="00390ADD">
            <w:pPr>
              <w:spacing w:after="0" w:line="240" w:lineRule="auto"/>
              <w:rPr>
                <w:rFonts w:ascii="Verdana" w:hAnsi="Verdana"/>
                <w:b/>
                <w:szCs w:val="24"/>
              </w:rPr>
            </w:pPr>
            <w:r w:rsidRPr="00A2330C">
              <w:rPr>
                <w:rFonts w:ascii="Verdana" w:hAnsi="Verdana"/>
                <w:b/>
                <w:szCs w:val="24"/>
              </w:rPr>
              <w:t>«СОГЛАСОВАНО»</w:t>
            </w:r>
          </w:p>
          <w:p w14:paraId="6FDC4541" w14:textId="77777777" w:rsidR="00390ADD" w:rsidRPr="00A2330C" w:rsidRDefault="00390ADD">
            <w:pPr>
              <w:spacing w:after="0" w:line="240" w:lineRule="auto"/>
              <w:rPr>
                <w:rFonts w:ascii="Verdana" w:hAnsi="Verdana"/>
                <w:szCs w:val="24"/>
              </w:rPr>
            </w:pPr>
          </w:p>
          <w:p w14:paraId="7059C752" w14:textId="77777777" w:rsidR="00390ADD" w:rsidRPr="00A2330C" w:rsidRDefault="00390ADD">
            <w:pPr>
              <w:spacing w:after="0" w:line="240" w:lineRule="auto"/>
              <w:rPr>
                <w:rFonts w:ascii="Verdana" w:hAnsi="Verdana"/>
                <w:szCs w:val="24"/>
              </w:rPr>
            </w:pPr>
            <w:r w:rsidRPr="00A2330C">
              <w:rPr>
                <w:rFonts w:ascii="Verdana" w:hAnsi="Verdana"/>
                <w:szCs w:val="24"/>
              </w:rPr>
              <w:t xml:space="preserve">Генеральный директор </w:t>
            </w:r>
          </w:p>
          <w:p w14:paraId="3F40869B" w14:textId="77777777" w:rsidR="00390ADD" w:rsidRPr="00A2330C" w:rsidRDefault="00390ADD">
            <w:pPr>
              <w:spacing w:after="0" w:line="240" w:lineRule="auto"/>
              <w:rPr>
                <w:rFonts w:ascii="Verdana" w:hAnsi="Verdana"/>
                <w:szCs w:val="24"/>
              </w:rPr>
            </w:pPr>
          </w:p>
          <w:p w14:paraId="2978BEDA" w14:textId="77777777" w:rsidR="00390ADD" w:rsidRPr="00A2330C" w:rsidRDefault="00390ADD">
            <w:pPr>
              <w:spacing w:after="0" w:line="240" w:lineRule="auto"/>
              <w:rPr>
                <w:rFonts w:ascii="Verdana" w:hAnsi="Verdana"/>
                <w:szCs w:val="24"/>
              </w:rPr>
            </w:pPr>
          </w:p>
          <w:p w14:paraId="5622D940" w14:textId="77777777" w:rsidR="003F3957" w:rsidRPr="00A2330C" w:rsidRDefault="003F3957" w:rsidP="003F3957">
            <w:pPr>
              <w:spacing w:after="0" w:line="240" w:lineRule="auto"/>
              <w:rPr>
                <w:rFonts w:ascii="Verdana" w:hAnsi="Verdana"/>
                <w:szCs w:val="24"/>
              </w:rPr>
            </w:pPr>
            <w:r w:rsidRPr="00A2330C">
              <w:rPr>
                <w:rFonts w:ascii="Verdana" w:hAnsi="Verdana"/>
                <w:szCs w:val="24"/>
              </w:rPr>
              <w:t>АО «НРК - Р.О.С.Т.»</w:t>
            </w:r>
          </w:p>
          <w:p w14:paraId="183E832B" w14:textId="00B56D58" w:rsidR="00390ADD" w:rsidRPr="00A2330C" w:rsidRDefault="00390ADD">
            <w:pPr>
              <w:spacing w:after="0" w:line="240" w:lineRule="auto"/>
              <w:rPr>
                <w:rFonts w:ascii="Verdana" w:hAnsi="Verdana"/>
                <w:szCs w:val="24"/>
              </w:rPr>
            </w:pPr>
          </w:p>
          <w:p w14:paraId="396AED6C" w14:textId="77777777" w:rsidR="00390ADD" w:rsidRPr="00A2330C" w:rsidRDefault="00390ADD">
            <w:pPr>
              <w:spacing w:after="0" w:line="240" w:lineRule="auto"/>
              <w:rPr>
                <w:rFonts w:ascii="Verdana" w:hAnsi="Verdana"/>
                <w:szCs w:val="24"/>
              </w:rPr>
            </w:pPr>
          </w:p>
          <w:p w14:paraId="5623157C" w14:textId="77777777" w:rsidR="00390ADD" w:rsidRPr="00A2330C" w:rsidRDefault="00390ADD">
            <w:pPr>
              <w:spacing w:after="0" w:line="240" w:lineRule="auto"/>
              <w:rPr>
                <w:rFonts w:ascii="Verdana" w:hAnsi="Verdana"/>
                <w:szCs w:val="24"/>
              </w:rPr>
            </w:pPr>
          </w:p>
          <w:p w14:paraId="1AFC1A4E" w14:textId="2E5F1D1F" w:rsidR="00390ADD" w:rsidRPr="00A2330C" w:rsidRDefault="00390ADD">
            <w:pPr>
              <w:spacing w:after="0" w:line="240" w:lineRule="auto"/>
              <w:rPr>
                <w:rFonts w:ascii="Verdana" w:hAnsi="Verdana"/>
                <w:szCs w:val="24"/>
              </w:rPr>
            </w:pPr>
            <w:r w:rsidRPr="00A2330C">
              <w:rPr>
                <w:rFonts w:ascii="Verdana" w:hAnsi="Verdana"/>
                <w:szCs w:val="24"/>
              </w:rPr>
              <w:t>________________ /</w:t>
            </w:r>
            <w:r w:rsidR="003F3957" w:rsidRPr="00A2330C">
              <w:rPr>
                <w:rFonts w:ascii="Verdana" w:hAnsi="Verdana"/>
                <w:szCs w:val="24"/>
              </w:rPr>
              <w:t xml:space="preserve"> </w:t>
            </w:r>
            <w:r w:rsidR="000867BF" w:rsidRPr="00A2330C">
              <w:rPr>
                <w:rFonts w:ascii="Verdana" w:hAnsi="Verdana"/>
                <w:szCs w:val="24"/>
              </w:rPr>
              <w:t>И.Б. Бузовский</w:t>
            </w:r>
            <w:r w:rsidR="003F3957" w:rsidRPr="00A2330C" w:rsidDel="003F3957">
              <w:rPr>
                <w:rFonts w:ascii="Verdana" w:hAnsi="Verdana"/>
                <w:szCs w:val="24"/>
              </w:rPr>
              <w:t xml:space="preserve"> </w:t>
            </w:r>
            <w:r w:rsidRPr="00A2330C">
              <w:rPr>
                <w:rFonts w:ascii="Verdana" w:hAnsi="Verdana"/>
                <w:szCs w:val="24"/>
              </w:rPr>
              <w:t>/</w:t>
            </w:r>
          </w:p>
          <w:p w14:paraId="5489D729" w14:textId="77777777" w:rsidR="00390ADD" w:rsidRPr="00A2330C" w:rsidRDefault="00390ADD">
            <w:pPr>
              <w:spacing w:after="0" w:line="240" w:lineRule="auto"/>
              <w:rPr>
                <w:rFonts w:ascii="Verdana" w:hAnsi="Verdana"/>
                <w:szCs w:val="24"/>
              </w:rPr>
            </w:pPr>
          </w:p>
          <w:p w14:paraId="47101BE8" w14:textId="256E8C73" w:rsidR="00390ADD" w:rsidRPr="00A2330C" w:rsidRDefault="00390ADD">
            <w:pPr>
              <w:spacing w:after="0" w:line="240" w:lineRule="auto"/>
              <w:rPr>
                <w:rFonts w:ascii="Verdana" w:hAnsi="Verdana"/>
                <w:szCs w:val="24"/>
              </w:rPr>
            </w:pPr>
            <w:r w:rsidRPr="00A2330C">
              <w:rPr>
                <w:rFonts w:ascii="Verdana" w:hAnsi="Verdana"/>
                <w:szCs w:val="24"/>
              </w:rPr>
              <w:t xml:space="preserve">       «</w:t>
            </w:r>
            <w:r w:rsidR="00025577">
              <w:rPr>
                <w:rFonts w:ascii="Verdana" w:hAnsi="Verdana"/>
                <w:szCs w:val="24"/>
              </w:rPr>
              <w:t>13</w:t>
            </w:r>
            <w:r w:rsidR="0016395B" w:rsidRPr="00F73D57">
              <w:rPr>
                <w:rFonts w:ascii="Verdana" w:hAnsi="Verdana"/>
                <w:szCs w:val="24"/>
              </w:rPr>
              <w:t xml:space="preserve">» </w:t>
            </w:r>
            <w:r w:rsidR="00025577">
              <w:rPr>
                <w:rFonts w:ascii="Verdana" w:hAnsi="Verdana"/>
                <w:szCs w:val="24"/>
              </w:rPr>
              <w:t xml:space="preserve">марта </w:t>
            </w:r>
            <w:r w:rsidR="003453F3">
              <w:rPr>
                <w:rFonts w:ascii="Verdana" w:hAnsi="Verdana"/>
                <w:szCs w:val="24"/>
              </w:rPr>
              <w:t xml:space="preserve">2026 </w:t>
            </w:r>
            <w:r w:rsidR="0016395B" w:rsidRPr="00F73D57">
              <w:rPr>
                <w:rFonts w:ascii="Verdana" w:hAnsi="Verdana"/>
                <w:szCs w:val="24"/>
              </w:rPr>
              <w:t>г</w:t>
            </w:r>
            <w:r w:rsidRPr="00A2330C">
              <w:rPr>
                <w:rFonts w:ascii="Verdana" w:hAnsi="Verdana"/>
                <w:szCs w:val="24"/>
              </w:rPr>
              <w:t>.</w:t>
            </w:r>
          </w:p>
          <w:p w14:paraId="55D1EDAB" w14:textId="77777777" w:rsidR="002A139C" w:rsidRPr="00A2330C" w:rsidRDefault="00390ADD">
            <w:pPr>
              <w:spacing w:after="0" w:line="240" w:lineRule="auto"/>
              <w:rPr>
                <w:rFonts w:ascii="Verdana" w:hAnsi="Verdana"/>
                <w:szCs w:val="24"/>
              </w:rPr>
            </w:pPr>
            <w:r w:rsidRPr="00A2330C">
              <w:rPr>
                <w:rFonts w:ascii="Verdana" w:hAnsi="Verdana"/>
                <w:szCs w:val="24"/>
              </w:rPr>
              <w:t xml:space="preserve">          </w:t>
            </w:r>
          </w:p>
          <w:p w14:paraId="500B6F38" w14:textId="464F9BC6" w:rsidR="00390ADD" w:rsidRPr="00A2330C" w:rsidRDefault="002A139C">
            <w:pPr>
              <w:spacing w:after="0" w:line="240" w:lineRule="auto"/>
              <w:rPr>
                <w:rFonts w:ascii="Verdana" w:hAnsi="Verdana"/>
                <w:szCs w:val="24"/>
              </w:rPr>
            </w:pPr>
            <w:r w:rsidRPr="00A2330C">
              <w:rPr>
                <w:rFonts w:ascii="Verdana" w:hAnsi="Verdana"/>
                <w:szCs w:val="24"/>
              </w:rPr>
              <w:t xml:space="preserve">                             </w:t>
            </w:r>
            <w:r w:rsidR="00390ADD" w:rsidRPr="00A2330C">
              <w:rPr>
                <w:rFonts w:ascii="Verdana" w:hAnsi="Verdana"/>
                <w:szCs w:val="24"/>
              </w:rPr>
              <w:t>М.П.</w:t>
            </w:r>
          </w:p>
        </w:tc>
        <w:tc>
          <w:tcPr>
            <w:tcW w:w="5036" w:type="dxa"/>
          </w:tcPr>
          <w:p w14:paraId="61B68C50" w14:textId="77777777" w:rsidR="00390ADD" w:rsidRPr="00A2330C" w:rsidRDefault="00390ADD">
            <w:pPr>
              <w:spacing w:after="0" w:line="240" w:lineRule="auto"/>
              <w:jc w:val="right"/>
              <w:rPr>
                <w:rFonts w:ascii="Verdana" w:hAnsi="Verdana"/>
                <w:b/>
                <w:szCs w:val="24"/>
              </w:rPr>
            </w:pPr>
            <w:r w:rsidRPr="00A2330C">
              <w:rPr>
                <w:rFonts w:ascii="Verdana" w:hAnsi="Verdana"/>
                <w:b/>
                <w:szCs w:val="24"/>
              </w:rPr>
              <w:t xml:space="preserve">«УТВЕРЖДЕНО» </w:t>
            </w:r>
          </w:p>
          <w:p w14:paraId="3331B227" w14:textId="77777777" w:rsidR="00390ADD" w:rsidRPr="00A2330C" w:rsidRDefault="00390ADD">
            <w:pPr>
              <w:spacing w:after="0" w:line="240" w:lineRule="auto"/>
              <w:rPr>
                <w:rFonts w:ascii="Verdana" w:hAnsi="Verdana"/>
                <w:szCs w:val="24"/>
              </w:rPr>
            </w:pPr>
          </w:p>
          <w:p w14:paraId="2C0B7888" w14:textId="4C9C83D1" w:rsidR="000867BF" w:rsidRPr="00A2330C" w:rsidRDefault="000867BF" w:rsidP="000867BF">
            <w:pPr>
              <w:spacing w:after="0" w:line="240" w:lineRule="auto"/>
              <w:jc w:val="right"/>
              <w:rPr>
                <w:rFonts w:ascii="Verdana" w:hAnsi="Verdana"/>
                <w:szCs w:val="24"/>
              </w:rPr>
            </w:pPr>
            <w:r w:rsidRPr="00A2330C">
              <w:rPr>
                <w:rFonts w:ascii="Verdana" w:hAnsi="Verdana"/>
                <w:szCs w:val="24"/>
              </w:rPr>
              <w:t xml:space="preserve">Приказом </w:t>
            </w:r>
            <w:r w:rsidR="00095589">
              <w:rPr>
                <w:rFonts w:ascii="Verdana" w:hAnsi="Verdana"/>
                <w:szCs w:val="24"/>
              </w:rPr>
              <w:t xml:space="preserve">ВРИО </w:t>
            </w:r>
            <w:r w:rsidRPr="00A2330C">
              <w:rPr>
                <w:rFonts w:ascii="Verdana" w:hAnsi="Verdana"/>
                <w:szCs w:val="24"/>
              </w:rPr>
              <w:t xml:space="preserve">Генерального директора АО «Центротраст» </w:t>
            </w:r>
          </w:p>
          <w:p w14:paraId="680F7F9C" w14:textId="1FB89D7D" w:rsidR="0016395B" w:rsidRPr="0016395B" w:rsidRDefault="0016395B" w:rsidP="0016395B">
            <w:pPr>
              <w:spacing w:after="0" w:line="240" w:lineRule="auto"/>
              <w:jc w:val="right"/>
              <w:rPr>
                <w:rFonts w:ascii="Verdana" w:hAnsi="Verdana"/>
                <w:szCs w:val="24"/>
              </w:rPr>
            </w:pPr>
            <w:r w:rsidRPr="0016395B">
              <w:rPr>
                <w:rFonts w:ascii="Verdana" w:hAnsi="Verdana"/>
                <w:szCs w:val="24"/>
              </w:rPr>
              <w:t>от «</w:t>
            </w:r>
            <w:r w:rsidR="00025577">
              <w:rPr>
                <w:rFonts w:ascii="Verdana" w:hAnsi="Verdana"/>
                <w:szCs w:val="24"/>
              </w:rPr>
              <w:t>13</w:t>
            </w:r>
            <w:r w:rsidRPr="0016395B">
              <w:rPr>
                <w:rFonts w:ascii="Verdana" w:hAnsi="Verdana"/>
                <w:szCs w:val="24"/>
              </w:rPr>
              <w:t xml:space="preserve">» </w:t>
            </w:r>
            <w:r w:rsidR="00025577">
              <w:rPr>
                <w:rFonts w:ascii="Verdana" w:hAnsi="Verdana"/>
                <w:szCs w:val="24"/>
              </w:rPr>
              <w:t xml:space="preserve">марта </w:t>
            </w:r>
            <w:r w:rsidR="003453F3">
              <w:rPr>
                <w:rFonts w:ascii="Verdana" w:hAnsi="Verdana"/>
                <w:szCs w:val="24"/>
              </w:rPr>
              <w:t xml:space="preserve">2026 </w:t>
            </w:r>
            <w:r w:rsidRPr="0016395B">
              <w:rPr>
                <w:rFonts w:ascii="Verdana" w:hAnsi="Verdana"/>
                <w:szCs w:val="24"/>
              </w:rPr>
              <w:t>г. №</w:t>
            </w:r>
            <w:r w:rsidR="00EE00C9">
              <w:rPr>
                <w:rFonts w:ascii="Verdana" w:hAnsi="Verdana"/>
                <w:szCs w:val="24"/>
              </w:rPr>
              <w:t>5</w:t>
            </w:r>
            <w:r w:rsidR="003453F3">
              <w:rPr>
                <w:rFonts w:ascii="Verdana" w:hAnsi="Verdana"/>
                <w:szCs w:val="24"/>
              </w:rPr>
              <w:t>-2026</w:t>
            </w:r>
            <w:r w:rsidRPr="0016395B">
              <w:rPr>
                <w:rFonts w:ascii="Verdana" w:hAnsi="Verdana"/>
                <w:szCs w:val="24"/>
              </w:rPr>
              <w:t>/УК</w:t>
            </w:r>
          </w:p>
          <w:p w14:paraId="359F732B" w14:textId="34DAADB4" w:rsidR="0016395B" w:rsidRPr="0016395B" w:rsidRDefault="00095589" w:rsidP="0016395B">
            <w:pPr>
              <w:spacing w:after="0" w:line="240" w:lineRule="auto"/>
              <w:jc w:val="right"/>
              <w:rPr>
                <w:rFonts w:ascii="Verdana" w:hAnsi="Verdana"/>
                <w:szCs w:val="24"/>
              </w:rPr>
            </w:pPr>
            <w:r>
              <w:rPr>
                <w:rFonts w:ascii="Verdana" w:hAnsi="Verdana"/>
                <w:szCs w:val="24"/>
              </w:rPr>
              <w:t xml:space="preserve">ВРИО </w:t>
            </w:r>
            <w:r w:rsidRPr="0016395B">
              <w:rPr>
                <w:rFonts w:ascii="Verdana" w:hAnsi="Verdana"/>
                <w:szCs w:val="24"/>
              </w:rPr>
              <w:t>Генеральн</w:t>
            </w:r>
            <w:r>
              <w:rPr>
                <w:rFonts w:ascii="Verdana" w:hAnsi="Verdana"/>
                <w:szCs w:val="24"/>
              </w:rPr>
              <w:t>ого</w:t>
            </w:r>
            <w:r w:rsidRPr="0016395B">
              <w:rPr>
                <w:rFonts w:ascii="Verdana" w:hAnsi="Verdana"/>
                <w:szCs w:val="24"/>
              </w:rPr>
              <w:t xml:space="preserve"> </w:t>
            </w:r>
            <w:r w:rsidR="0016395B" w:rsidRPr="0016395B">
              <w:rPr>
                <w:rFonts w:ascii="Verdana" w:hAnsi="Verdana"/>
                <w:szCs w:val="24"/>
              </w:rPr>
              <w:t>директор</w:t>
            </w:r>
            <w:r>
              <w:rPr>
                <w:rFonts w:ascii="Verdana" w:hAnsi="Verdana"/>
                <w:szCs w:val="24"/>
              </w:rPr>
              <w:t>а</w:t>
            </w:r>
            <w:r w:rsidR="0016395B" w:rsidRPr="0016395B">
              <w:rPr>
                <w:rFonts w:ascii="Verdana" w:hAnsi="Verdana"/>
                <w:szCs w:val="24"/>
              </w:rPr>
              <w:t xml:space="preserve">  </w:t>
            </w:r>
          </w:p>
          <w:p w14:paraId="4111F6E3" w14:textId="77777777" w:rsidR="0016395B" w:rsidRPr="0016395B" w:rsidRDefault="0016395B" w:rsidP="0016395B">
            <w:pPr>
              <w:spacing w:after="0" w:line="240" w:lineRule="auto"/>
              <w:jc w:val="right"/>
              <w:rPr>
                <w:rFonts w:ascii="Verdana" w:hAnsi="Verdana"/>
                <w:szCs w:val="24"/>
              </w:rPr>
            </w:pPr>
            <w:r w:rsidRPr="0016395B">
              <w:rPr>
                <w:rFonts w:ascii="Verdana" w:hAnsi="Verdana"/>
                <w:szCs w:val="24"/>
              </w:rPr>
              <w:t>АО «Центротраст»</w:t>
            </w:r>
          </w:p>
          <w:p w14:paraId="69393A21" w14:textId="77777777" w:rsidR="0016395B" w:rsidRPr="0016395B" w:rsidRDefault="0016395B" w:rsidP="0016395B">
            <w:pPr>
              <w:spacing w:after="0" w:line="240" w:lineRule="auto"/>
              <w:jc w:val="right"/>
              <w:rPr>
                <w:rFonts w:ascii="Verdana" w:hAnsi="Verdana"/>
                <w:szCs w:val="24"/>
              </w:rPr>
            </w:pPr>
          </w:p>
          <w:p w14:paraId="5377F1C2" w14:textId="77777777" w:rsidR="0016395B" w:rsidRPr="0016395B" w:rsidRDefault="0016395B" w:rsidP="0016395B">
            <w:pPr>
              <w:spacing w:after="0" w:line="240" w:lineRule="auto"/>
              <w:jc w:val="right"/>
              <w:rPr>
                <w:rFonts w:ascii="Verdana" w:hAnsi="Verdana"/>
                <w:szCs w:val="24"/>
              </w:rPr>
            </w:pPr>
          </w:p>
          <w:p w14:paraId="3B827D4A" w14:textId="44469587" w:rsidR="0016395B" w:rsidRPr="0016395B" w:rsidRDefault="0016395B" w:rsidP="0016395B">
            <w:pPr>
              <w:spacing w:after="0" w:line="240" w:lineRule="auto"/>
              <w:jc w:val="right"/>
              <w:rPr>
                <w:rFonts w:ascii="Verdana" w:hAnsi="Verdana"/>
                <w:szCs w:val="24"/>
              </w:rPr>
            </w:pPr>
            <w:r w:rsidRPr="0016395B">
              <w:rPr>
                <w:rFonts w:ascii="Verdana" w:hAnsi="Verdana"/>
                <w:szCs w:val="24"/>
              </w:rPr>
              <w:t>__________________ /</w:t>
            </w:r>
            <w:r w:rsidR="00095589" w:rsidRPr="00095589">
              <w:rPr>
                <w:rFonts w:ascii="Verdana" w:hAnsi="Verdana"/>
                <w:szCs w:val="24"/>
              </w:rPr>
              <w:t>А.Е. Хардин</w:t>
            </w:r>
            <w:r w:rsidRPr="0016395B">
              <w:rPr>
                <w:rFonts w:ascii="Verdana" w:hAnsi="Verdana"/>
                <w:szCs w:val="24"/>
              </w:rPr>
              <w:t>/</w:t>
            </w:r>
          </w:p>
          <w:p w14:paraId="180D433F" w14:textId="77777777" w:rsidR="0016395B" w:rsidRPr="0016395B" w:rsidRDefault="0016395B" w:rsidP="0016395B">
            <w:pPr>
              <w:spacing w:after="0" w:line="240" w:lineRule="auto"/>
              <w:jc w:val="right"/>
              <w:rPr>
                <w:rFonts w:ascii="Verdana" w:hAnsi="Verdana"/>
                <w:szCs w:val="24"/>
              </w:rPr>
            </w:pPr>
          </w:p>
          <w:p w14:paraId="5AFD7685" w14:textId="7995D0EE" w:rsidR="00390ADD" w:rsidRPr="00A2330C" w:rsidRDefault="0016395B">
            <w:pPr>
              <w:spacing w:after="0" w:line="240" w:lineRule="auto"/>
              <w:jc w:val="right"/>
              <w:rPr>
                <w:rFonts w:ascii="Verdana" w:hAnsi="Verdana"/>
                <w:szCs w:val="24"/>
              </w:rPr>
            </w:pPr>
            <w:r w:rsidRPr="0016395B">
              <w:rPr>
                <w:rFonts w:ascii="Verdana" w:hAnsi="Verdana"/>
                <w:szCs w:val="24"/>
              </w:rPr>
              <w:t xml:space="preserve">       «</w:t>
            </w:r>
            <w:r w:rsidR="00025577">
              <w:rPr>
                <w:rFonts w:ascii="Verdana" w:hAnsi="Verdana"/>
                <w:szCs w:val="24"/>
              </w:rPr>
              <w:t>13</w:t>
            </w:r>
            <w:r w:rsidRPr="0016395B">
              <w:rPr>
                <w:rFonts w:ascii="Verdana" w:hAnsi="Verdana"/>
                <w:szCs w:val="24"/>
              </w:rPr>
              <w:t xml:space="preserve">» </w:t>
            </w:r>
            <w:r w:rsidR="00025577">
              <w:rPr>
                <w:rFonts w:ascii="Verdana" w:hAnsi="Verdana"/>
                <w:szCs w:val="24"/>
              </w:rPr>
              <w:t xml:space="preserve">марта </w:t>
            </w:r>
            <w:r w:rsidR="003453F3">
              <w:rPr>
                <w:rFonts w:ascii="Verdana" w:hAnsi="Verdana"/>
                <w:szCs w:val="24"/>
              </w:rPr>
              <w:t xml:space="preserve">2026 </w:t>
            </w:r>
            <w:r w:rsidRPr="0016395B">
              <w:rPr>
                <w:rFonts w:ascii="Verdana" w:hAnsi="Verdana"/>
                <w:szCs w:val="24"/>
              </w:rPr>
              <w:t>г</w:t>
            </w:r>
            <w:r w:rsidR="00390ADD" w:rsidRPr="00A2330C">
              <w:rPr>
                <w:rFonts w:ascii="Verdana" w:hAnsi="Verdana"/>
                <w:szCs w:val="24"/>
              </w:rPr>
              <w:t>.</w:t>
            </w:r>
          </w:p>
          <w:p w14:paraId="48B8B691" w14:textId="77777777" w:rsidR="00390ADD" w:rsidRPr="00A2330C" w:rsidRDefault="00390ADD">
            <w:pPr>
              <w:spacing w:after="0" w:line="240" w:lineRule="auto"/>
              <w:jc w:val="right"/>
              <w:rPr>
                <w:rFonts w:ascii="Verdana" w:hAnsi="Verdana"/>
                <w:szCs w:val="24"/>
              </w:rPr>
            </w:pPr>
          </w:p>
          <w:p w14:paraId="7140A1E1" w14:textId="77777777" w:rsidR="00390ADD" w:rsidRDefault="00390ADD">
            <w:pPr>
              <w:spacing w:after="0" w:line="240" w:lineRule="auto"/>
              <w:rPr>
                <w:rFonts w:ascii="Verdana" w:hAnsi="Verdana"/>
                <w:szCs w:val="24"/>
              </w:rPr>
            </w:pPr>
            <w:r w:rsidRPr="00A2330C">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68A9329D" w14:textId="58D1CC32" w:rsidR="0053307A" w:rsidRPr="0053307A" w:rsidRDefault="0053307A" w:rsidP="00D069CB">
      <w:pPr>
        <w:jc w:val="center"/>
        <w:rPr>
          <w:rFonts w:ascii="Verdana" w:eastAsia="Times New Roman" w:hAnsi="Verdana" w:cs="Arial"/>
          <w:b/>
          <w:bCs/>
          <w:iCs/>
          <w:caps/>
          <w:color w:val="943634"/>
          <w:sz w:val="28"/>
          <w:szCs w:val="28"/>
          <w:lang w:eastAsia="ru-RU"/>
        </w:rPr>
      </w:pPr>
      <w:r w:rsidRPr="0053307A">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4965E944"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r w:rsidR="00C14DFC" w:rsidRPr="00C14DFC">
        <w:rPr>
          <w:rFonts w:ascii="Verdana" w:hAnsi="Verdana"/>
          <w:b/>
          <w:snapToGrid w:val="0"/>
        </w:rPr>
        <w:t>Сибирский</w:t>
      </w:r>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297CCC23"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r w:rsidR="00C14DFC" w:rsidRPr="00C14DFC">
        <w:rPr>
          <w:rFonts w:ascii="Verdana" w:hAnsi="Verdana" w:cs="Times New Roman"/>
          <w:b/>
          <w:sz w:val="22"/>
          <w:szCs w:val="22"/>
        </w:rPr>
        <w:t>Сибирский</w:t>
      </w:r>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0B2A14DA" w:rsidR="002A12F8" w:rsidRPr="00982440" w:rsidRDefault="00A13309" w:rsidP="00AF3F62">
      <w:pPr>
        <w:spacing w:before="120" w:after="120" w:line="360" w:lineRule="auto"/>
        <w:jc w:val="both"/>
        <w:rPr>
          <w:rFonts w:ascii="Verdana" w:hAnsi="Verdana"/>
        </w:rPr>
      </w:pPr>
      <w:r w:rsidRPr="00A2330C">
        <w:rPr>
          <w:rFonts w:ascii="Verdana" w:hAnsi="Verdana"/>
        </w:rPr>
        <w:t>Настоящие Правила определения СЧА применяются с</w:t>
      </w:r>
      <w:r w:rsidR="00CC296F" w:rsidRPr="00A2330C">
        <w:rPr>
          <w:rFonts w:ascii="Verdana" w:hAnsi="Verdana"/>
        </w:rPr>
        <w:t xml:space="preserve"> </w:t>
      </w:r>
      <w:r w:rsidR="00025577">
        <w:rPr>
          <w:rFonts w:ascii="Verdana" w:hAnsi="Verdana"/>
        </w:rPr>
        <w:t>23.03</w:t>
      </w:r>
      <w:r w:rsidR="003453F3">
        <w:rPr>
          <w:rFonts w:ascii="Verdana" w:hAnsi="Verdana"/>
        </w:rPr>
        <w:t>.2026</w:t>
      </w:r>
      <w:r w:rsidR="00BB4E3D" w:rsidRPr="00A233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58FAF7C3" w14:textId="77777777" w:rsidR="00025577" w:rsidRPr="00890947" w:rsidRDefault="00025577" w:rsidP="00025577">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2EFFDAB8" w14:textId="77777777" w:rsidR="00025577" w:rsidRPr="00890947" w:rsidRDefault="00025577" w:rsidP="00025577">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31ACEC6B" w:rsidR="00BB4E3D" w:rsidRPr="00982440" w:rsidRDefault="00025577" w:rsidP="00F518CD">
      <w:pPr>
        <w:spacing w:line="360" w:lineRule="auto"/>
        <w:jc w:val="both"/>
        <w:rPr>
          <w:rFonts w:ascii="Verdana" w:hAnsi="Verdana"/>
        </w:rPr>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r w:rsidR="00BB4E3D" w:rsidRPr="00982440">
        <w:rPr>
          <w:rFonts w:ascii="Verdana" w:hAnsi="Verdana"/>
        </w:rPr>
        <w:t>.</w:t>
      </w:r>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2588EE99"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3453F3" w:rsidRPr="003453F3">
        <w:rPr>
          <w:rFonts w:ascii="Verdana" w:hAnsi="Verdana"/>
        </w:rPr>
        <w:t xml:space="preserve">трех рабочих дней, следующих </w:t>
      </w:r>
      <w:r w:rsidR="006A7400" w:rsidRPr="00982440">
        <w:rPr>
          <w:rFonts w:ascii="Verdana" w:hAnsi="Verdana"/>
        </w:rPr>
        <w:t xml:space="preserve">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w:t>
      </w:r>
      <w:r w:rsidR="003A51C1" w:rsidRPr="00FD22D8">
        <w:rPr>
          <w:rFonts w:ascii="Verdana" w:hAnsi="Verdana" w:cs="Verdana"/>
        </w:rPr>
        <w:lastRenderedPageBreak/>
        <w:t xml:space="preserve">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24F2A7AD" w14:textId="77777777" w:rsidR="00025577" w:rsidRPr="001D7E02" w:rsidRDefault="00025577" w:rsidP="00025577">
      <w:pPr>
        <w:pStyle w:val="ad"/>
        <w:autoSpaceDE w:val="0"/>
        <w:autoSpaceDN w:val="0"/>
        <w:adjustRightInd w:val="0"/>
        <w:spacing w:before="120" w:after="120" w:line="360" w:lineRule="auto"/>
        <w:ind w:left="0"/>
        <w:jc w:val="both"/>
        <w:rPr>
          <w:rFonts w:ascii="Verdana" w:hAnsi="Verdana"/>
          <w:color w:val="00000A"/>
        </w:rPr>
      </w:pPr>
      <w:bookmarkStart w:id="8"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44A0E309" w:rsidR="006505F4" w:rsidRDefault="00025577"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w:t>
      </w:r>
      <w:r w:rsidRPr="001D7E02">
        <w:rPr>
          <w:rFonts w:ascii="Verdana" w:hAnsi="Verdana"/>
          <w:color w:val="00000A"/>
        </w:rPr>
        <w:lastRenderedPageBreak/>
        <w:t>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Pr>
          <w:rFonts w:ascii="Verdana" w:hAnsi="Verdana"/>
          <w:color w:val="00000A"/>
        </w:rPr>
        <w:t>.</w:t>
      </w:r>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9"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9"/>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0"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0"/>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1" w:name="_Toc27400757"/>
      <w:r w:rsidRPr="00982440">
        <w:rPr>
          <w:rFonts w:ascii="Verdana" w:hAnsi="Verdana" w:cs="Arial"/>
          <w:caps/>
          <w:color w:val="943634"/>
          <w:sz w:val="24"/>
        </w:rPr>
        <w:lastRenderedPageBreak/>
        <w:t>Перерасчет СЧА</w:t>
      </w:r>
      <w:bookmarkEnd w:id="11"/>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2"/>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881"/>
      </w:tblGrid>
      <w:tr w:rsidR="00C43815" w:rsidRPr="00982440" w14:paraId="60C4634F" w14:textId="77777777" w:rsidTr="00A2330C">
        <w:tc>
          <w:tcPr>
            <w:tcW w:w="10881"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A2330C">
        <w:tc>
          <w:tcPr>
            <w:tcW w:w="10881"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A2330C">
        <w:trPr>
          <w:trHeight w:val="529"/>
        </w:trPr>
        <w:tc>
          <w:tcPr>
            <w:tcW w:w="10881"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A2330C">
        <w:tc>
          <w:tcPr>
            <w:tcW w:w="10881"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A2330C">
        <w:tc>
          <w:tcPr>
            <w:tcW w:w="10881"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A2330C">
        <w:tc>
          <w:tcPr>
            <w:tcW w:w="10881"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A2330C">
        <w:trPr>
          <w:trHeight w:val="537"/>
        </w:trPr>
        <w:tc>
          <w:tcPr>
            <w:tcW w:w="10881"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2D4075" w14:paraId="7A12F616" w14:textId="77777777" w:rsidTr="00A2330C">
        <w:trPr>
          <w:trHeight w:val="537"/>
        </w:trPr>
        <w:tc>
          <w:tcPr>
            <w:tcW w:w="10881"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73BD8141" w14:textId="77777777" w:rsidTr="00A2330C">
        <w:tc>
          <w:tcPr>
            <w:tcW w:w="10881"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A2330C">
        <w:tc>
          <w:tcPr>
            <w:tcW w:w="10881"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A2330C">
        <w:tc>
          <w:tcPr>
            <w:tcW w:w="10881"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7AEEDFF6" w14:textId="77777777" w:rsidTr="00A2330C">
        <w:tc>
          <w:tcPr>
            <w:tcW w:w="10881"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4"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4"/>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6"/>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38DEEF4"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F54775"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F54775"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F54775"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F54775"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F54775"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6BE2F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F54775"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F54775"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F54775"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F54775"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F54775"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7"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7"/>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18" w:name="уровень_3_конвертации_3"/>
            <w:r w:rsidR="00BE4A23" w:rsidRPr="00BF2CB6">
              <w:rPr>
                <w:rFonts w:ascii="Verdana" w:hAnsi="Verdana"/>
                <w:iCs/>
              </w:rPr>
              <w:t xml:space="preserve">Уровня </w:t>
            </w:r>
            <w:bookmarkEnd w:id="18"/>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4E7F6EC6" w14:textId="77777777" w:rsidR="00A70D14" w:rsidRPr="00B77C45" w:rsidRDefault="00A70D14" w:rsidP="00A70D14">
      <w:pPr>
        <w:spacing w:after="0" w:line="240" w:lineRule="auto"/>
        <w:jc w:val="both"/>
        <w:rPr>
          <w:rFonts w:ascii="Verdana" w:eastAsia="Times New Roman" w:hAnsi="Verdana" w:cs="Arial"/>
          <w:caps/>
          <w:color w:val="943634"/>
          <w:spacing w:val="6"/>
          <w:kern w:val="32"/>
          <w:sz w:val="24"/>
          <w:szCs w:val="24"/>
          <w:lang w:eastAsia="ru-RU"/>
        </w:rPr>
      </w:pPr>
      <w:r w:rsidRPr="0023639E">
        <w:rPr>
          <w:rFonts w:ascii="Verdana" w:eastAsia="Times New Roman" w:hAnsi="Verdana" w:cs="Arial"/>
          <w:b/>
          <w:bCs/>
          <w:caps/>
          <w:color w:val="943634"/>
          <w:spacing w:val="6"/>
          <w:kern w:val="32"/>
          <w:sz w:val="24"/>
          <w:szCs w:val="24"/>
          <w:lang w:eastAsia="ru-RU"/>
        </w:rPr>
        <w:t>Приложение А к Приложению 2.</w:t>
      </w:r>
      <w:r w:rsidRPr="00B77C45">
        <w:rPr>
          <w:rFonts w:ascii="Verdana" w:eastAsia="Times New Roman" w:hAnsi="Verdana" w:cs="Arial"/>
          <w:caps/>
          <w:color w:val="943634"/>
          <w:spacing w:val="6"/>
          <w:kern w:val="32"/>
          <w:sz w:val="24"/>
          <w:szCs w:val="24"/>
          <w:lang w:eastAsia="ru-RU"/>
        </w:rPr>
        <w:t xml:space="preserve"> 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F53644">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F53644">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F53644">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F53644">
        <w:trPr>
          <w:trHeight w:val="1953"/>
        </w:trPr>
        <w:tc>
          <w:tcPr>
            <w:tcW w:w="14000" w:type="dxa"/>
            <w:gridSpan w:val="2"/>
            <w:shd w:val="clear" w:color="auto" w:fill="auto"/>
            <w:hideMark/>
          </w:tcPr>
          <w:p w14:paraId="1ED3BDE5" w14:textId="1D080DC9"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F53644">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F53644">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F53644">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r w:rsidR="00400C3A" w:rsidRPr="00EA5652">
              <w:rPr>
                <w:rFonts w:ascii="Verdana" w:hAnsi="Verdana"/>
                <w:sz w:val="20"/>
                <w:lang w:eastAsia="nl-BE"/>
              </w:rPr>
              <w:t xml:space="preserve">Cbonds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5905A798" w:rsidR="00A70D14" w:rsidRDefault="00A70D14" w:rsidP="005D0F39">
            <w:pPr>
              <w:spacing w:after="0" w:line="240" w:lineRule="auto"/>
              <w:rPr>
                <w:rFonts w:ascii="Verdana" w:eastAsia="Times New Roman" w:hAnsi="Verdana"/>
                <w:sz w:val="20"/>
                <w:szCs w:val="20"/>
                <w:lang w:eastAsia="ru-RU"/>
              </w:rPr>
            </w:pPr>
          </w:p>
          <w:p w14:paraId="2B82546F" w14:textId="55F6C5D4"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77103F5D"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F53644">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F53644">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F53644">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455BBB76"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6B336E43"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2F19FCB9"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«Cbonds Estimation»</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Cbonds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6CE2BDF1"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F53644">
      <w:pPr>
        <w:pStyle w:val="11"/>
        <w:numPr>
          <w:ilvl w:val="0"/>
          <w:numId w:val="0"/>
        </w:numPr>
      </w:pPr>
    </w:p>
    <w:p w14:paraId="65E058DB" w14:textId="77777777" w:rsidR="00400C3A" w:rsidRPr="00D56EAD" w:rsidRDefault="00400C3A" w:rsidP="00F53644"/>
    <w:p w14:paraId="0A125C22" w14:textId="77777777" w:rsidR="00400C3A" w:rsidRPr="00D56EAD" w:rsidRDefault="00400C3A" w:rsidP="00F53644"/>
    <w:p w14:paraId="2F636E75" w14:textId="77777777" w:rsidR="00400C3A" w:rsidRPr="00D56EAD" w:rsidRDefault="00400C3A" w:rsidP="00F53644"/>
    <w:p w14:paraId="22F7A7AF" w14:textId="77777777" w:rsidR="00400C3A" w:rsidRPr="00D56EAD" w:rsidRDefault="00400C3A" w:rsidP="00F53644"/>
    <w:p w14:paraId="24712D23" w14:textId="77777777" w:rsidR="00400C3A" w:rsidRPr="00D56EAD" w:rsidRDefault="00400C3A" w:rsidP="00F53644"/>
    <w:p w14:paraId="5A6653C7" w14:textId="77777777" w:rsidR="00400C3A" w:rsidRPr="00D56EAD" w:rsidRDefault="00400C3A" w:rsidP="00F53644"/>
    <w:p w14:paraId="46531C00" w14:textId="77777777" w:rsidR="00400C3A" w:rsidRPr="00D56EAD" w:rsidRDefault="00400C3A" w:rsidP="00F53644"/>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F53644">
      <w:pPr>
        <w:pStyle w:val="11"/>
        <w:numPr>
          <w:ilvl w:val="0"/>
          <w:numId w:val="0"/>
        </w:numPr>
        <w:jc w:val="left"/>
      </w:pPr>
    </w:p>
    <w:p w14:paraId="596AC8DA" w14:textId="1BF448E5" w:rsidR="00A70D14" w:rsidRDefault="00A70D14" w:rsidP="00F53644">
      <w:pPr>
        <w:pStyle w:val="11"/>
        <w:numPr>
          <w:ilvl w:val="0"/>
          <w:numId w:val="0"/>
        </w:numPr>
      </w:pPr>
      <w:r w:rsidRPr="00400C3A">
        <w:br w:type="column"/>
      </w:r>
    </w:p>
    <w:p w14:paraId="407234C6" w14:textId="77777777" w:rsidR="00400C3A" w:rsidRPr="0023639E" w:rsidRDefault="00A70D14" w:rsidP="00A70D14">
      <w:pPr>
        <w:jc w:val="right"/>
        <w:rPr>
          <w:rFonts w:ascii="Verdana" w:eastAsia="Times New Roman" w:hAnsi="Verdana" w:cs="Arial"/>
          <w:b/>
          <w:bCs/>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w:t>
      </w:r>
      <w:r w:rsidRPr="0023639E">
        <w:rPr>
          <w:rFonts w:ascii="Verdana" w:eastAsia="Times New Roman" w:hAnsi="Verdana" w:cs="Arial"/>
          <w:b/>
          <w:bCs/>
          <w:caps/>
          <w:color w:val="943634"/>
          <w:spacing w:val="6"/>
          <w:kern w:val="32"/>
          <w:sz w:val="24"/>
          <w:szCs w:val="24"/>
          <w:lang w:eastAsia="ru-RU"/>
        </w:rPr>
        <w:t xml:space="preserve">Приложение Б к Приложению 2. </w:t>
      </w:r>
    </w:p>
    <w:p w14:paraId="70A8363F" w14:textId="519DAABB"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19" w:name="_Toc27398198"/>
      <w:bookmarkStart w:id="20" w:name="_Toc473901525"/>
      <w:bookmarkStart w:id="21"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9"/>
      <w:bookmarkEnd w:id="20"/>
      <w:bookmarkEnd w:id="21"/>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2" w:name="_Toc473901523"/>
      <w:bookmarkStart w:id="23" w:name="_Toc467177595"/>
      <w:r w:rsidRPr="00B77C45">
        <w:rPr>
          <w:rFonts w:ascii="Verdana" w:eastAsia="Times New Roman" w:hAnsi="Verdana"/>
          <w:b/>
          <w:bCs/>
          <w:caps/>
          <w:sz w:val="24"/>
          <w:szCs w:val="24"/>
          <w:lang w:eastAsia="ru-RU"/>
        </w:rPr>
        <w:t>ТЕРМИНЫ И ОПРЕДЕЛЕНИЯ</w:t>
      </w:r>
      <w:bookmarkEnd w:id="22"/>
      <w:bookmarkEnd w:id="23"/>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4"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4"/>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F54775"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F54775"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F54775"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F54775"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F54775"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F54775"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F54775"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F54775"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F54775"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F54775"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F54775"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F54775"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F54775"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F54775"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F54775"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F54775"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F54775"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F54775"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F54775"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F54775"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F54775"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F54775"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40B53CAA"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F54775"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F54775"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F54775"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w:t>
      </w:r>
      <w:r w:rsidRPr="00B77C45">
        <w:rPr>
          <w:rFonts w:ascii="Verdana" w:hAnsi="Verdana"/>
          <w:sz w:val="24"/>
          <w:szCs w:val="24"/>
        </w:rPr>
        <w:lastRenderedPageBreak/>
        <w:t>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lastRenderedPageBreak/>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lastRenderedPageBreak/>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F54775"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F54775"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F54775"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F54775"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w:t>
      </w:r>
      <w:r w:rsidRPr="00B77C45">
        <w:rPr>
          <w:rFonts w:ascii="Verdana" w:eastAsiaTheme="minorHAnsi" w:hAnsi="Verdana" w:cstheme="minorBidi"/>
          <w:sz w:val="24"/>
          <w:szCs w:val="24"/>
        </w:rPr>
        <w:lastRenderedPageBreak/>
        <w:t>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F54775"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F54775"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F54775"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lastRenderedPageBreak/>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lastRenderedPageBreak/>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F54775"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5" w:name="_Приложение_3._Перечень"/>
      <w:bookmarkStart w:id="26" w:name="_Toc27400761"/>
      <w:bookmarkEnd w:id="2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6"/>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7" w:name="_Приложение_5._Метод"/>
      <w:bookmarkStart w:id="28" w:name="_Приложение_4._Метод"/>
      <w:bookmarkStart w:id="29" w:name="_Toc27400762"/>
      <w:bookmarkStart w:id="30" w:name="приложение_5"/>
      <w:bookmarkEnd w:id="27"/>
      <w:bookmarkEnd w:id="2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9"/>
    </w:p>
    <w:bookmarkEnd w:id="30"/>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Pr="00982440">
        <w:rPr>
          <w:rFonts w:ascii="Verdana" w:hAnsi="Verdana"/>
        </w:rPr>
        <w:t xml:space="preserve">в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1" w:name="приложение_5_депозит"/>
      <w:r w:rsidRPr="00BF2CB6">
        <w:rPr>
          <w:rFonts w:ascii="Verdana" w:hAnsi="Verdana"/>
        </w:rPr>
        <w:t xml:space="preserve">вкладов </w:t>
      </w:r>
      <w:bookmarkEnd w:id="31"/>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2.5pt" o:ole="">
            <v:imagedata r:id="rId28" o:title=""/>
          </v:shape>
          <o:OLEObject Type="Embed" ProgID="Equation.3" ShapeID="_x0000_i1025" DrawAspect="Content" ObjectID="_1834834088"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4089"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F54775"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F54775"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2" w:name="_Приложение_6._Метод"/>
      <w:bookmarkStart w:id="33" w:name="_Приложение_6._МетодИКА"/>
      <w:bookmarkStart w:id="34" w:name="_Приложение_5._Методика"/>
      <w:bookmarkStart w:id="35" w:name="приложение_6"/>
      <w:bookmarkStart w:id="36" w:name="_Toc27400763"/>
      <w:bookmarkEnd w:id="32"/>
      <w:bookmarkEnd w:id="33"/>
      <w:bookmarkEnd w:id="34"/>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5"/>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6"/>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F54775"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7"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F54775"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38"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8"/>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7"/>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9"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F53644">
        <w:rPr>
          <w:rFonts w:ascii="Verdana" w:hAnsi="Verdana"/>
          <w:b/>
          <w:bCs/>
        </w:rPr>
        <w:t xml:space="preserve">физических </w:t>
      </w:r>
      <w:r w:rsidRPr="0023639E">
        <w:rPr>
          <w:rFonts w:ascii="Verdana" w:hAnsi="Verdana"/>
        </w:rPr>
        <w:t>и</w:t>
      </w:r>
      <w:r w:rsidRPr="00F53644">
        <w:rPr>
          <w:rFonts w:ascii="Verdana" w:hAnsi="Verdana"/>
          <w:b/>
          <w:bCs/>
        </w:rPr>
        <w:t xml:space="preserve">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9"/>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0"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0"/>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23639E">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23639E">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23639E">
        <w:rPr>
          <w:rFonts w:ascii="Verdana" w:hAnsi="Verdana"/>
          <w:b/>
          <w:bCs/>
        </w:rPr>
        <w:t>юридических</w:t>
      </w:r>
      <w:r w:rsidRPr="00982440">
        <w:rPr>
          <w:rFonts w:ascii="Verdana" w:hAnsi="Verdana"/>
        </w:rPr>
        <w:t xml:space="preserve"> и </w:t>
      </w:r>
      <w:r w:rsidRPr="0023639E">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1" w:name="_Раздел_3._Оценка"/>
      <w:bookmarkEnd w:id="41"/>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2" w:name="_Раздел_4._Порядок"/>
      <w:bookmarkEnd w:id="42"/>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F53644">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F54775"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5._Расчет"/>
      <w:bookmarkEnd w:id="43"/>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4"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4"/>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6._Расчет"/>
      <w:bookmarkEnd w:id="45"/>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7._Метод"/>
      <w:bookmarkEnd w:id="46"/>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7"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8"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48"/>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F54775"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F54775"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7"/>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Б_к"/>
      <w:bookmarkEnd w:id="49"/>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В_к"/>
      <w:bookmarkEnd w:id="50"/>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Г_к"/>
      <w:bookmarkEnd w:id="51"/>
      <w:r w:rsidRPr="00982440">
        <w:rPr>
          <w:rFonts w:ascii="Verdana" w:eastAsia="Calibri" w:hAnsi="Verdana"/>
          <w:b/>
          <w:bCs w:val="0"/>
          <w:iCs/>
          <w:szCs w:val="22"/>
          <w:lang w:eastAsia="en-US"/>
        </w:rPr>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2" w:name="OLE_LINK1"/>
            <w:r w:rsidRPr="00982440">
              <w:rPr>
                <w:rFonts w:ascii="Verdana" w:eastAsia="Times New Roman" w:hAnsi="Verdana"/>
              </w:rPr>
              <w:t>1, 5, 6, 7, 12, 14, 18, 19, 20, 21, 22, 25, 26, 28, 29, 30, 32, 33, 35, 36, 38, 39, 50, 58, 60, 61, 62, 63, 68, 72, 73, 74, 75, 80, 81, 82, 84, 85, 86, 87, 90, 91, 92, 94, 95, 96, 97</w:t>
            </w:r>
            <w:bookmarkEnd w:id="52"/>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Д_к"/>
      <w:bookmarkEnd w:id="53"/>
      <w:r w:rsidRPr="00982440">
        <w:rPr>
          <w:rFonts w:ascii="Verdana" w:eastAsia="Calibri" w:hAnsi="Verdana"/>
          <w:b/>
          <w:bCs w:val="0"/>
          <w:iCs/>
          <w:szCs w:val="22"/>
          <w:lang w:eastAsia="en-US"/>
        </w:rPr>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5"/>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73EC19BF"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16395B">
              <w:rPr>
                <w:rFonts w:ascii="Verdana" w:eastAsia="Times New Roman" w:hAnsi="Verdana"/>
                <w:bCs/>
                <w:color w:val="000000"/>
                <w:sz w:val="20"/>
                <w:szCs w:val="20"/>
                <w:lang w:val="en-US" w:eastAsia="ru-RU"/>
              </w:rPr>
              <w:t>;</w:t>
            </w:r>
            <w:r w:rsidR="0016395B"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3683874" w14:textId="2DDDF955" w:rsidR="0016395B" w:rsidRPr="00D34D0D" w:rsidRDefault="0016395B" w:rsidP="00AE5F94">
            <w:pPr>
              <w:pStyle w:val="ad"/>
              <w:spacing w:after="0" w:line="240" w:lineRule="auto"/>
              <w:ind w:left="0"/>
              <w:jc w:val="both"/>
              <w:rPr>
                <w:rFonts w:ascii="Verdana" w:eastAsia="Times New Roman" w:hAnsi="Verdana"/>
                <w:bCs/>
                <w:color w:val="000000"/>
                <w:sz w:val="20"/>
                <w:szCs w:val="20"/>
                <w:lang w:eastAsia="ru-RU"/>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64255225" w14:textId="7E919E06" w:rsidR="0016395B" w:rsidRPr="00D34D0D" w:rsidRDefault="0016395B"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43530CF8"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6"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7" w:name="счета_НКЦ"/>
            <w:r w:rsidRPr="00BF2CB6">
              <w:rPr>
                <w:rFonts w:ascii="Verdana" w:eastAsia="Times New Roman" w:hAnsi="Verdana"/>
                <w:bCs/>
                <w:color w:val="000000"/>
                <w:sz w:val="20"/>
                <w:szCs w:val="20"/>
                <w:lang w:eastAsia="ru-RU"/>
              </w:rPr>
              <w:t xml:space="preserve">Денежные </w:t>
            </w:r>
            <w:bookmarkEnd w:id="57"/>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6"/>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58" w:name="_Приложение_10._Депозиты"/>
      <w:bookmarkStart w:id="59" w:name="_Приложение_9._Депозиты"/>
      <w:bookmarkStart w:id="60" w:name="_Toc27400766"/>
      <w:bookmarkEnd w:id="58"/>
      <w:bookmarkEnd w:id="5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0"/>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1" w:name="_Toc27400767"/>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1"/>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2" w:name="_Toc27400768"/>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2"/>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F53644">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F53644">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F53644">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F53644">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3" w:name="металлы"/>
            <w:r w:rsidRPr="00BF2CB6">
              <w:rPr>
                <w:rFonts w:ascii="Verdana" w:eastAsia="Calibri" w:hAnsi="Verdana"/>
                <w:b w:val="0"/>
                <w:bCs w:val="0"/>
                <w:color w:val="auto"/>
                <w:sz w:val="20"/>
                <w:szCs w:val="20"/>
                <w:lang w:eastAsia="en-US"/>
              </w:rPr>
              <w:t>палладия</w:t>
            </w:r>
            <w:bookmarkEnd w:id="63"/>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F53644">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4" w:name="_Toc27400769"/>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4"/>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5"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5"/>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6"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6"/>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67"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7"/>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68" w:name="квалицикация_дз_по_паям"/>
            <w:r w:rsidRPr="00F53644">
              <w:rPr>
                <w:rFonts w:ascii="Verdana" w:eastAsia="Times New Roman" w:hAnsi="Verdana"/>
                <w:bCs/>
                <w:color w:val="000000"/>
                <w:sz w:val="20"/>
                <w:szCs w:val="20"/>
                <w:lang w:eastAsia="ru-RU"/>
              </w:rPr>
              <w:t xml:space="preserve">инвестиционных </w:t>
            </w:r>
            <w:bookmarkEnd w:id="68"/>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9" w:name="_Toc27400773"/>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69"/>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0" w:name="_Toc27400774"/>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0"/>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1" w:name="_Toc27400775"/>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1"/>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2"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2"/>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3FAC1C15"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3453F3">
              <w:rPr>
                <w:rFonts w:ascii="Verdana" w:eastAsia="Times New Roman" w:hAnsi="Verdana"/>
                <w:bCs/>
                <w:color w:val="000000"/>
                <w:sz w:val="20"/>
                <w:szCs w:val="20"/>
                <w:lang w:eastAsia="ru-RU"/>
              </w:rPr>
              <w:t>У</w:t>
            </w:r>
            <w:r w:rsidR="003453F3" w:rsidRPr="00982440">
              <w:rPr>
                <w:rFonts w:ascii="Verdana" w:eastAsia="Times New Roman" w:hAnsi="Verdana"/>
                <w:bCs/>
                <w:color w:val="000000"/>
                <w:sz w:val="20"/>
                <w:szCs w:val="20"/>
                <w:lang w:eastAsia="ru-RU"/>
              </w:rPr>
              <w:t xml:space="preserve">правляющей </w:t>
            </w:r>
            <w:r w:rsidRPr="00982440">
              <w:rPr>
                <w:rFonts w:ascii="Verdana" w:eastAsia="Times New Roman" w:hAnsi="Verdana"/>
                <w:bCs/>
                <w:color w:val="000000"/>
                <w:sz w:val="20"/>
                <w:szCs w:val="20"/>
                <w:lang w:eastAsia="ru-RU"/>
              </w:rPr>
              <w:t>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3" w:name="_Hlk145330435"/>
            <w:r w:rsidRPr="00982440">
              <w:rPr>
                <w:rFonts w:ascii="Verdana" w:eastAsia="Times New Roman" w:hAnsi="Verdana"/>
                <w:bCs/>
                <w:color w:val="000000"/>
                <w:sz w:val="20"/>
                <w:szCs w:val="20"/>
                <w:lang w:eastAsia="ru-RU"/>
              </w:rPr>
              <w:t>Дебиторская задолженность по аренде</w:t>
            </w:r>
            <w:bookmarkEnd w:id="73"/>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8E94822" w14:textId="48BE301D" w:rsidR="004A0572" w:rsidRPr="003453F3" w:rsidRDefault="003453F3" w:rsidP="003453F3">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453F3">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3453F3">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3453F3">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3453F3">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3453F3">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3453F3">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3453F3">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21041F4F" w14:textId="56ABBC00" w:rsidR="004A0572" w:rsidRDefault="00DB28C5" w:rsidP="003453F3">
            <w:pPr>
              <w:pStyle w:val="ad"/>
              <w:numPr>
                <w:ilvl w:val="0"/>
                <w:numId w:val="7"/>
              </w:numPr>
              <w:spacing w:after="0" w:line="240" w:lineRule="auto"/>
              <w:jc w:val="both"/>
              <w:rPr>
                <w:rFonts w:ascii="Verdana" w:eastAsia="Times New Roman" w:hAnsi="Verdana"/>
                <w:b/>
                <w:iCs/>
                <w:sz w:val="20"/>
                <w:szCs w:val="20"/>
                <w:lang w:eastAsia="ru-RU"/>
              </w:rPr>
            </w:pPr>
            <w:r w:rsidRPr="00ED7DE3">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58F54E3E" w14:textId="77777777" w:rsidR="003453F3" w:rsidRPr="0023639E" w:rsidRDefault="003453F3" w:rsidP="0023639E">
            <w:pPr>
              <w:pStyle w:val="ad"/>
              <w:rPr>
                <w:rFonts w:ascii="Verdana" w:eastAsia="Times New Roman" w:hAnsi="Verdana"/>
                <w:b/>
                <w:iCs/>
                <w:sz w:val="20"/>
                <w:szCs w:val="20"/>
                <w:lang w:eastAsia="ru-RU"/>
              </w:rPr>
            </w:pPr>
          </w:p>
          <w:p w14:paraId="7B120070" w14:textId="77777777" w:rsidR="003453F3" w:rsidRPr="00137319" w:rsidRDefault="003453F3" w:rsidP="003453F3">
            <w:pPr>
              <w:pStyle w:val="ad"/>
              <w:numPr>
                <w:ilvl w:val="0"/>
                <w:numId w:val="7"/>
              </w:numPr>
              <w:spacing w:after="0" w:line="240" w:lineRule="auto"/>
              <w:jc w:val="both"/>
              <w:rPr>
                <w:rFonts w:ascii="Verdana" w:eastAsia="Times New Roman" w:hAnsi="Verdana"/>
                <w:b/>
                <w:iCs/>
                <w:sz w:val="20"/>
                <w:szCs w:val="20"/>
                <w:lang w:eastAsia="ru-RU"/>
              </w:rPr>
            </w:pPr>
            <w:r w:rsidRPr="00137319">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137319">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35F306FB" w14:textId="77777777" w:rsidR="00350FC4" w:rsidRPr="00982440" w:rsidRDefault="00350FC4" w:rsidP="00350FC4">
            <w:pPr>
              <w:pStyle w:val="ad"/>
              <w:rPr>
                <w:rFonts w:ascii="Verdana" w:hAnsi="Verdana"/>
                <w:b/>
                <w:sz w:val="20"/>
                <w:szCs w:val="20"/>
              </w:rPr>
            </w:pPr>
          </w:p>
          <w:p w14:paraId="475F91EA" w14:textId="0F93333D" w:rsidR="00C7195D" w:rsidRPr="00982440" w:rsidRDefault="00C7195D" w:rsidP="003453F3">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36918F3" w14:textId="77777777" w:rsidR="00916B98" w:rsidRPr="00A2330C" w:rsidRDefault="00916B98" w:rsidP="00A2330C">
            <w:pPr>
              <w:spacing w:after="0" w:line="240" w:lineRule="auto"/>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4"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5" w:name="_Приложение_22._Права"/>
      <w:bookmarkStart w:id="76" w:name="_Приложение_21._Права"/>
      <w:bookmarkStart w:id="77" w:name="_Toc27400778"/>
      <w:bookmarkEnd w:id="75"/>
      <w:bookmarkEnd w:id="76"/>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7"/>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A7708A">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A7708A">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A7708A">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A7708A">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A7708A">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A7708A">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A7708A">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A7708A">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A7708A">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A7708A">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AE366B5" w14:textId="77777777" w:rsidR="00D56EAD" w:rsidRPr="00504A6F" w:rsidRDefault="00D56EAD" w:rsidP="00A7708A">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837F33D" w14:textId="77777777" w:rsidR="00D56EAD" w:rsidRPr="00504A6F" w:rsidRDefault="00D56EAD" w:rsidP="00A7708A">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A7708A">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A7708A">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A7708A">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A7708A">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A7708A">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A7708A">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A7708A">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A7708A">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A7708A">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A7708A">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A7708A">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p>
        </w:tc>
        <w:tc>
          <w:tcPr>
            <w:tcW w:w="7938" w:type="dxa"/>
          </w:tcPr>
          <w:p w14:paraId="3BFB80D6" w14:textId="77777777" w:rsidR="00D56EAD" w:rsidRDefault="00D56EAD" w:rsidP="00A7708A">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A7708A">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A7708A">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A7708A">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A7708A">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A7708A">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A7708A">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A7708A">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A7708A">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A7708A">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A7708A">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A7708A">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A7708A">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1E04865A" w14:textId="77777777" w:rsidR="00D56EAD" w:rsidRPr="00337CFC" w:rsidRDefault="00F54775" w:rsidP="00A7708A">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A7708A">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F54775" w:rsidP="00A7708A">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F54775" w:rsidP="00A7708A">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A7708A">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F54775" w:rsidP="00A7708A">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F54775" w:rsidP="00A7708A">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F54775" w:rsidP="00A7708A">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A7708A">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A7708A">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A7708A">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A7708A">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A7708A">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A7708A">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A7708A">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A7708A">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A7708A">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14:paraId="6674411E" w14:textId="77777777" w:rsidR="00D56EAD" w:rsidRPr="008B7556" w:rsidRDefault="00D56EAD" w:rsidP="00A7708A">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A7708A">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A7708A">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A7708A">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A7708A">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14:paraId="4C9AA4E8" w14:textId="77777777" w:rsidR="00D56EAD" w:rsidRPr="00AD5FD9" w:rsidRDefault="00D56EAD" w:rsidP="00A7708A">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A7708A">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A7708A">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A7708A">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A7708A">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A7708A">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A7708A">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A7708A">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F54775" w:rsidP="00A7708A">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A7708A">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F54775" w:rsidP="00A7708A">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F54775" w:rsidP="00A7708A">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F54775" w:rsidP="00A7708A">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A7708A">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A7708A">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A7708A">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A7708A">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A7708A">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A7708A">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A7708A">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A7708A">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A7708A">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A7708A">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A7708A">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A7708A">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A7708A">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A7708A">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A7708A">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0822C7EB" w14:textId="77777777" w:rsidR="00D56EAD" w:rsidRPr="00CC4E52" w:rsidRDefault="00D56EAD" w:rsidP="00A7708A">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A7708A">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A7708A">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A7708A">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A7708A">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938" w:type="dxa"/>
          </w:tcPr>
          <w:p w14:paraId="49BD3DFA" w14:textId="77777777" w:rsidR="00D56EAD" w:rsidRPr="002B13A6" w:rsidRDefault="00D56EAD" w:rsidP="00A7708A">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78"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7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F53644"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F53644">
              <w:rPr>
                <w:rFonts w:ascii="Verdana" w:hAnsi="Verdana"/>
                <w:sz w:val="20"/>
                <w:szCs w:val="20"/>
              </w:rPr>
              <w:t>Наиболее ранняя из дат:</w:t>
            </w:r>
          </w:p>
          <w:p w14:paraId="67DDF9D7" w14:textId="77777777" w:rsidR="00D56EAD" w:rsidRPr="00F53644" w:rsidRDefault="00D56EAD" w:rsidP="00D56EAD">
            <w:pPr>
              <w:pStyle w:val="ad"/>
              <w:keepNext/>
              <w:keepLines/>
              <w:spacing w:after="0" w:line="240" w:lineRule="auto"/>
              <w:ind w:left="312"/>
              <w:jc w:val="both"/>
              <w:rPr>
                <w:rFonts w:ascii="Verdana" w:hAnsi="Verdana"/>
                <w:sz w:val="20"/>
                <w:szCs w:val="20"/>
              </w:rPr>
            </w:pPr>
            <w:r w:rsidRPr="00F53644">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F53644">
              <w:rPr>
                <w:rFonts w:ascii="Verdana" w:hAnsi="Verdana"/>
                <w:sz w:val="20"/>
                <w:szCs w:val="20"/>
              </w:rPr>
              <w:t xml:space="preserve">- дата государственной регистрации </w:t>
            </w:r>
            <w:r w:rsidRPr="00F53644">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9" w:name="_Toc274007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7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0" w:name="_Toc27400781"/>
      <w:bookmarkStart w:id="81"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1"/>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7F700EC0" w14:textId="77777777" w:rsidR="008A0890" w:rsidRPr="00982440" w:rsidRDefault="008A0890">
      <w:pPr>
        <w:pStyle w:val="11"/>
        <w:numPr>
          <w:ilvl w:val="0"/>
          <w:numId w:val="0"/>
        </w:numPr>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2" w:name="_Toc27400782"/>
    </w:p>
    <w:p w14:paraId="47FEF10C" w14:textId="5583D86F" w:rsidR="00AD5E99" w:rsidRPr="00982440" w:rsidRDefault="00C7229C" w:rsidP="00A2330C">
      <w:pPr>
        <w:pStyle w:val="11"/>
        <w:numPr>
          <w:ilvl w:val="0"/>
          <w:numId w:val="0"/>
        </w:numPr>
        <w:ind w:left="426"/>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560D34" w:rsidRPr="00982440">
        <w:rPr>
          <w:rFonts w:ascii="Verdana" w:hAnsi="Verdana" w:cs="Arial"/>
          <w:b w:val="0"/>
          <w:bCs w:val="0"/>
          <w:iCs w:val="0"/>
          <w:caps/>
          <w:smallCaps w:val="0"/>
          <w:color w:val="943634"/>
          <w:sz w:val="24"/>
        </w:rPr>
        <w:t>2</w:t>
      </w:r>
      <w:r w:rsidR="00560D34">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3"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3"/>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78C8F9F1"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4"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t xml:space="preserve">Приложение </w:t>
      </w:r>
      <w:r w:rsidR="00560D34" w:rsidRPr="00982440">
        <w:rPr>
          <w:rFonts w:ascii="Verdana" w:hAnsi="Verdana" w:cs="Arial"/>
          <w:b w:val="0"/>
          <w:bCs w:val="0"/>
          <w:iCs w:val="0"/>
          <w:caps/>
          <w:smallCaps w:val="0"/>
          <w:color w:val="943634"/>
          <w:sz w:val="24"/>
        </w:rPr>
        <w:t>2</w:t>
      </w:r>
      <w:r w:rsidR="00560D34">
        <w:rPr>
          <w:rFonts w:ascii="Verdana" w:hAnsi="Verdana" w:cs="Arial"/>
          <w:b w:val="0"/>
          <w:bCs w:val="0"/>
          <w:iCs w:val="0"/>
          <w:caps/>
          <w:smallCaps w:val="0"/>
          <w:color w:val="943634"/>
          <w:sz w:val="24"/>
        </w:rPr>
        <w:t>7</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28DC5972"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5" w:name="_Toc27400784"/>
      <w:r w:rsidRPr="00982440">
        <w:rPr>
          <w:rFonts w:ascii="Verdana" w:hAnsi="Verdana" w:cs="Arial"/>
          <w:b w:val="0"/>
          <w:bCs w:val="0"/>
          <w:iCs w:val="0"/>
          <w:caps/>
          <w:smallCaps w:val="0"/>
          <w:color w:val="943634"/>
          <w:sz w:val="24"/>
        </w:rPr>
        <w:t xml:space="preserve">Приложение </w:t>
      </w:r>
      <w:r w:rsidR="00560D34" w:rsidRPr="00982440">
        <w:rPr>
          <w:rFonts w:ascii="Verdana" w:hAnsi="Verdana" w:cs="Arial"/>
          <w:b w:val="0"/>
          <w:bCs w:val="0"/>
          <w:iCs w:val="0"/>
          <w:caps/>
          <w:smallCaps w:val="0"/>
          <w:color w:val="943634"/>
          <w:sz w:val="24"/>
        </w:rPr>
        <w:t>2</w:t>
      </w:r>
      <w:r w:rsidR="00560D34">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DBB3144" w:rsidR="00E83D44"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6" w:name="_Toc27400786"/>
      <w:r w:rsidRPr="00982440">
        <w:rPr>
          <w:rFonts w:ascii="Verdana" w:hAnsi="Verdana" w:cs="Arial"/>
          <w:b w:val="0"/>
          <w:bCs w:val="0"/>
          <w:iCs w:val="0"/>
          <w:caps/>
          <w:smallCaps w:val="0"/>
          <w:color w:val="943634"/>
          <w:sz w:val="24"/>
        </w:rPr>
        <w:t xml:space="preserve">Приложение </w:t>
      </w:r>
      <w:r w:rsidR="00560D34">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87" w:name="приложение_31"/>
    </w:p>
    <w:p w14:paraId="1EF4BBEB" w14:textId="40C18E45"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8" w:name="_Приложение_331._Договор"/>
      <w:bookmarkStart w:id="89" w:name="_Приложение_33._Договор"/>
      <w:bookmarkStart w:id="90" w:name="_Toc27400787"/>
      <w:bookmarkEnd w:id="87"/>
      <w:bookmarkEnd w:id="88"/>
      <w:bookmarkEnd w:id="89"/>
      <w:r w:rsidRPr="00982440">
        <w:rPr>
          <w:rFonts w:ascii="Verdana" w:hAnsi="Verdana" w:cs="Arial"/>
          <w:b w:val="0"/>
          <w:bCs w:val="0"/>
          <w:iCs w:val="0"/>
          <w:caps/>
          <w:smallCaps w:val="0"/>
          <w:color w:val="943634"/>
          <w:sz w:val="24"/>
        </w:rPr>
        <w:t xml:space="preserve">Приложение </w:t>
      </w:r>
      <w:r w:rsidR="00560D34" w:rsidRPr="00982440">
        <w:rPr>
          <w:rFonts w:ascii="Verdana" w:hAnsi="Verdana" w:cs="Arial"/>
          <w:b w:val="0"/>
          <w:bCs w:val="0"/>
          <w:iCs w:val="0"/>
          <w:caps/>
          <w:smallCaps w:val="0"/>
          <w:color w:val="943634"/>
          <w:sz w:val="24"/>
        </w:rPr>
        <w:t>3</w:t>
      </w:r>
      <w:r w:rsidR="00560D34">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41E77968" w:rsidR="003C0E9F" w:rsidRPr="00982440" w:rsidRDefault="003C0E9F" w:rsidP="003C0E9F">
      <w:pPr>
        <w:pStyle w:val="11"/>
        <w:numPr>
          <w:ilvl w:val="0"/>
          <w:numId w:val="0"/>
        </w:numPr>
        <w:ind w:left="432"/>
        <w:jc w:val="left"/>
        <w:rPr>
          <w:rFonts w:ascii="Verdana" w:hAnsi="Verdana" w:cs="Arial"/>
          <w:bCs w:val="0"/>
          <w:iCs w:val="0"/>
          <w:caps/>
          <w:smallCaps w:val="0"/>
          <w:color w:val="943634"/>
          <w:sz w:val="24"/>
        </w:rPr>
      </w:pPr>
      <w:bookmarkStart w:id="91" w:name="_Toc27400789"/>
      <w:r w:rsidRPr="00982440">
        <w:rPr>
          <w:rFonts w:ascii="Verdana" w:hAnsi="Verdana" w:cs="Arial"/>
          <w:b w:val="0"/>
          <w:bCs w:val="0"/>
          <w:iCs w:val="0"/>
          <w:caps/>
          <w:smallCaps w:val="0"/>
          <w:color w:val="943634"/>
          <w:sz w:val="24"/>
        </w:rPr>
        <w:t xml:space="preserve">Приложение </w:t>
      </w:r>
      <w:r w:rsidR="00560D34" w:rsidRPr="00982440">
        <w:rPr>
          <w:rFonts w:ascii="Verdana" w:hAnsi="Verdana" w:cs="Arial"/>
          <w:b w:val="0"/>
          <w:bCs w:val="0"/>
          <w:iCs w:val="0"/>
          <w:caps/>
          <w:smallCaps w:val="0"/>
          <w:color w:val="943634"/>
          <w:sz w:val="24"/>
        </w:rPr>
        <w:t>3</w:t>
      </w:r>
      <w:r w:rsidR="00560D34">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2" w:name="_Toc27400790"/>
      <w:r w:rsidRPr="00982440">
        <w:rPr>
          <w:rFonts w:ascii="Verdana" w:hAnsi="Verdana" w:cs="Arial"/>
          <w:b/>
          <w:bCs/>
          <w:iCs/>
          <w:caps/>
          <w:smallCaps/>
          <w:color w:val="943634"/>
          <w:sz w:val="24"/>
        </w:rPr>
        <w:br w:type="page"/>
      </w:r>
    </w:p>
    <w:bookmarkEnd w:id="92"/>
    <w:p w14:paraId="0DA8333A" w14:textId="77777777" w:rsidR="004D1F8C" w:rsidRPr="00982440" w:rsidRDefault="004D1F8C" w:rsidP="00531BB5">
      <w:pPr>
        <w:pStyle w:val="11"/>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11C277D8"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 xml:space="preserve">Приложение </w:t>
      </w:r>
      <w:r w:rsidR="00560D34" w:rsidRPr="00982440">
        <w:rPr>
          <w:rFonts w:ascii="Verdana" w:hAnsi="Verdana" w:cs="Arial"/>
          <w:b w:val="0"/>
          <w:bCs w:val="0"/>
          <w:iCs w:val="0"/>
          <w:caps/>
          <w:color w:val="943634"/>
          <w:sz w:val="24"/>
        </w:rPr>
        <w:t>3</w:t>
      </w:r>
      <w:r w:rsidR="00560D34">
        <w:rPr>
          <w:rFonts w:ascii="Verdana" w:hAnsi="Verdana" w:cs="Arial"/>
          <w:b w:val="0"/>
          <w:bCs w:val="0"/>
          <w:iCs w:val="0"/>
          <w:caps/>
          <w:color w:val="943634"/>
          <w:sz w:val="24"/>
        </w:rPr>
        <w:t>2</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C9EC491" w14:textId="18F8E537" w:rsidR="00453F25" w:rsidRPr="00982440" w:rsidRDefault="00453F25" w:rsidP="00453F25">
      <w:pPr>
        <w:pStyle w:val="11"/>
        <w:numPr>
          <w:ilvl w:val="0"/>
          <w:numId w:val="0"/>
        </w:numPr>
        <w:ind w:left="432"/>
        <w:jc w:val="left"/>
        <w:rPr>
          <w:rFonts w:ascii="Verdana" w:hAnsi="Verdana" w:cs="Arial"/>
          <w:iCs w:val="0"/>
          <w:caps/>
          <w:color w:val="943634"/>
          <w:sz w:val="24"/>
        </w:rPr>
      </w:pPr>
      <w:r w:rsidRPr="00982440">
        <w:rPr>
          <w:rFonts w:ascii="Verdana" w:hAnsi="Verdana" w:cs="Arial"/>
          <w:b w:val="0"/>
          <w:bCs w:val="0"/>
          <w:iCs w:val="0"/>
          <w:caps/>
          <w:color w:val="943634"/>
          <w:sz w:val="24"/>
        </w:rPr>
        <w:t>Приложение 3</w:t>
      </w:r>
      <w:r>
        <w:rPr>
          <w:rFonts w:ascii="Verdana" w:hAnsi="Verdana" w:cs="Arial"/>
          <w:b w:val="0"/>
          <w:bCs w:val="0"/>
          <w:iCs w:val="0"/>
          <w:caps/>
          <w:color w:val="943634"/>
          <w:sz w:val="24"/>
        </w:rPr>
        <w:t>3</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Активы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453F25" w:rsidRPr="00982440" w14:paraId="2BD2255F" w14:textId="77777777" w:rsidTr="00A7708A">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71E7F1A6" w14:textId="77777777" w:rsidR="00453F25" w:rsidRPr="00982440" w:rsidRDefault="00453F25" w:rsidP="00A7708A">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A2E5A9F"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0F578691" w14:textId="77777777" w:rsidR="00453F25" w:rsidRPr="00982440" w:rsidRDefault="00453F25" w:rsidP="00A7708A">
            <w:pPr>
              <w:pStyle w:val="ad"/>
              <w:ind w:left="1601"/>
              <w:jc w:val="both"/>
              <w:rPr>
                <w:sz w:val="20"/>
                <w:szCs w:val="20"/>
              </w:rPr>
            </w:pPr>
            <w:r w:rsidRPr="00982440">
              <w:rPr>
                <w:rFonts w:ascii="Verdana" w:hAnsi="Verdana"/>
                <w:sz w:val="20"/>
                <w:szCs w:val="20"/>
                <w:lang w:eastAsia="ru-RU"/>
              </w:rPr>
              <w:t> </w:t>
            </w:r>
          </w:p>
        </w:tc>
      </w:tr>
      <w:tr w:rsidR="00453F25" w:rsidRPr="00982440" w14:paraId="3DE7409E" w14:textId="77777777" w:rsidTr="00A7708A">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7F065EF" w14:textId="77777777" w:rsidR="00453F25" w:rsidRPr="00982440" w:rsidRDefault="00453F25" w:rsidP="00A7708A">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C83530D"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7515C94D" w14:textId="77777777" w:rsidR="00453F25" w:rsidRPr="00982440" w:rsidRDefault="00453F25" w:rsidP="00A7708A">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5FD875EC" w14:textId="77777777" w:rsidR="00453F25" w:rsidRPr="00982440" w:rsidRDefault="00453F25" w:rsidP="00A7708A">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0E30CEC1" w14:textId="77777777" w:rsidR="00453F25" w:rsidRPr="00982440" w:rsidRDefault="00453F25" w:rsidP="00A7708A">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01788ACC" w14:textId="77777777" w:rsidR="00453F25" w:rsidRPr="00982440" w:rsidRDefault="00453F25" w:rsidP="00A7708A">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08716EEF" w14:textId="77777777" w:rsidR="00453F25" w:rsidRPr="00982440" w:rsidRDefault="00453F25" w:rsidP="00A7708A">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02B96A7F" w14:textId="77777777" w:rsidR="00453F25" w:rsidRPr="00982440" w:rsidRDefault="00453F25" w:rsidP="00A7708A">
            <w:pPr>
              <w:pStyle w:val="ad"/>
              <w:rPr>
                <w:sz w:val="20"/>
                <w:szCs w:val="20"/>
              </w:rPr>
            </w:pPr>
            <w:r w:rsidRPr="00982440">
              <w:rPr>
                <w:rFonts w:ascii="Verdana" w:hAnsi="Verdana"/>
                <w:b/>
                <w:bCs/>
                <w:color w:val="000000"/>
                <w:sz w:val="20"/>
                <w:szCs w:val="20"/>
                <w:lang w:eastAsia="ru-RU"/>
              </w:rPr>
              <w:t> </w:t>
            </w:r>
          </w:p>
          <w:p w14:paraId="1E373470"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46E3618D" w14:textId="77777777" w:rsidR="00453F25" w:rsidRPr="00982440" w:rsidRDefault="00453F25" w:rsidP="00A7708A">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C22418B" w14:textId="77777777" w:rsidR="00453F25" w:rsidRPr="00982440" w:rsidRDefault="00453F25" w:rsidP="00A7708A">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69392F16"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51D044AB" w14:textId="77777777" w:rsidR="00453F25" w:rsidRPr="00982440" w:rsidRDefault="00453F25" w:rsidP="00A7708A">
            <w:pPr>
              <w:pStyle w:val="ad"/>
              <w:rPr>
                <w:sz w:val="20"/>
                <w:szCs w:val="20"/>
              </w:rPr>
            </w:pPr>
            <w:r w:rsidRPr="00982440">
              <w:rPr>
                <w:rFonts w:ascii="Verdana" w:hAnsi="Verdana"/>
                <w:color w:val="000000"/>
                <w:sz w:val="20"/>
                <w:szCs w:val="20"/>
                <w:lang w:eastAsia="ru-RU"/>
              </w:rPr>
              <w:t> </w:t>
            </w:r>
          </w:p>
        </w:tc>
      </w:tr>
      <w:tr w:rsidR="00453F25" w:rsidRPr="00982440" w14:paraId="38E30D74" w14:textId="77777777" w:rsidTr="00A7708A">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BA6C7D6" w14:textId="77777777" w:rsidR="00453F25" w:rsidRPr="00982440" w:rsidRDefault="00453F25" w:rsidP="00A7708A">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84D3FCB"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4695540B" w14:textId="77777777" w:rsidR="00453F25" w:rsidRPr="00982440" w:rsidRDefault="00453F25" w:rsidP="00A7708A">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69C6093A" w14:textId="77777777" w:rsidR="00453F25" w:rsidRPr="00982440" w:rsidRDefault="00453F25" w:rsidP="00A7708A">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6D5CF11A" w14:textId="77777777" w:rsidR="00453F25" w:rsidRPr="00982440" w:rsidRDefault="00453F25" w:rsidP="00A7708A">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219A5607" w14:textId="77777777" w:rsidR="00453F25" w:rsidRPr="00982440" w:rsidRDefault="00453F25" w:rsidP="00A7708A">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453F25" w:rsidRPr="00982440" w14:paraId="6BB08284" w14:textId="77777777" w:rsidTr="00A7708A">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7987FCD8" w14:textId="77777777" w:rsidR="00453F25" w:rsidRPr="00982440" w:rsidRDefault="00453F25" w:rsidP="00A7708A">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0FBE546" w14:textId="77777777" w:rsidR="00453F25" w:rsidRPr="00982440" w:rsidRDefault="00453F25" w:rsidP="00A7708A">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0A97A38C" w14:textId="77777777" w:rsidR="00453F25" w:rsidRPr="00982440" w:rsidRDefault="00453F25" w:rsidP="00A7708A">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7669E1BC" w14:textId="77777777" w:rsidR="00453F25" w:rsidRPr="00982440" w:rsidRDefault="00453F25" w:rsidP="00A7708A">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5705EC1F" w14:textId="77777777" w:rsidR="00453F25" w:rsidRPr="00982440" w:rsidRDefault="00453F25" w:rsidP="00A7708A">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194040CC" w14:textId="77777777" w:rsidR="00453F25" w:rsidRPr="00982440" w:rsidRDefault="00453F25" w:rsidP="00A7708A">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51029C4A" w14:textId="77777777" w:rsidR="00453F25" w:rsidRPr="00982440" w:rsidRDefault="00453F25" w:rsidP="00A7708A">
            <w:pPr>
              <w:jc w:val="both"/>
              <w:rPr>
                <w:sz w:val="20"/>
                <w:szCs w:val="20"/>
              </w:rPr>
            </w:pPr>
            <w:r w:rsidRPr="00982440">
              <w:rPr>
                <w:rFonts w:ascii="Verdana" w:hAnsi="Verdana"/>
                <w:color w:val="000000"/>
                <w:sz w:val="20"/>
                <w:szCs w:val="20"/>
                <w:lang w:eastAsia="ru-RU"/>
              </w:rPr>
              <w:t> </w:t>
            </w:r>
          </w:p>
          <w:p w14:paraId="6C3295FA" w14:textId="77777777" w:rsidR="00453F25" w:rsidRPr="00982440" w:rsidRDefault="00453F25" w:rsidP="00A7708A">
            <w:pPr>
              <w:jc w:val="both"/>
              <w:rPr>
                <w:sz w:val="20"/>
                <w:szCs w:val="20"/>
              </w:rPr>
            </w:pPr>
            <w:r w:rsidRPr="00982440">
              <w:rPr>
                <w:rFonts w:ascii="Verdana" w:hAnsi="Verdana"/>
                <w:color w:val="000000"/>
                <w:sz w:val="20"/>
                <w:szCs w:val="20"/>
                <w:lang w:eastAsia="ru-RU"/>
              </w:rPr>
              <w:t> </w:t>
            </w:r>
          </w:p>
        </w:tc>
      </w:tr>
      <w:tr w:rsidR="00453F25" w:rsidRPr="00982440" w14:paraId="49CBD978" w14:textId="77777777" w:rsidTr="00A7708A">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D8BF4F7" w14:textId="77777777" w:rsidR="00453F25" w:rsidRPr="00982440" w:rsidRDefault="00453F25" w:rsidP="00A7708A">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2D41A10A" w14:textId="77777777" w:rsidR="00453F25" w:rsidRPr="00982440" w:rsidRDefault="00453F25" w:rsidP="00A7708A">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2C62AC75" w14:textId="22EEE7A4" w:rsidR="00453F25" w:rsidRPr="00982440" w:rsidRDefault="00453F25" w:rsidP="00453F25">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t>Приложение 3</w:t>
      </w:r>
      <w:r>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Активы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453F25" w:rsidRPr="00982440" w14:paraId="2FCAD35C" w14:textId="77777777" w:rsidTr="00A7708A">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07ED281" w14:textId="77777777" w:rsidR="00453F25" w:rsidRPr="00982440" w:rsidRDefault="00453F25" w:rsidP="00A7708A">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7C5E7C12" w14:textId="77777777" w:rsidR="00453F25" w:rsidRPr="00982440" w:rsidRDefault="00453F25" w:rsidP="00A7708A">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4FCABD3E" w14:textId="77777777" w:rsidR="00453F25" w:rsidRPr="00982440" w:rsidRDefault="00453F25" w:rsidP="00A7708A">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453F25" w:rsidRPr="00982440" w14:paraId="4ED23C4F" w14:textId="77777777" w:rsidTr="00A7708A">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31B301D" w14:textId="77777777" w:rsidR="00453F25" w:rsidRPr="00982440" w:rsidRDefault="00453F25" w:rsidP="00A7708A">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5118B26"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5D13F6A3" w14:textId="77777777" w:rsidR="00453F25" w:rsidRPr="00982440" w:rsidRDefault="00453F25" w:rsidP="00A7708A">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61E9B024" w14:textId="77777777" w:rsidR="00453F25" w:rsidRPr="00982440" w:rsidRDefault="00453F25" w:rsidP="00A7708A">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5D17489E" w14:textId="77777777" w:rsidR="00453F25" w:rsidRPr="00982440" w:rsidRDefault="00453F25" w:rsidP="00A7708A">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6149B2AF" w14:textId="77777777" w:rsidR="00453F25" w:rsidRPr="00982440" w:rsidRDefault="00453F25" w:rsidP="00A7708A">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6358C2E2" w14:textId="77777777" w:rsidR="00453F25" w:rsidRPr="00982440" w:rsidRDefault="00453F25" w:rsidP="00A7708A">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5F3933BD" w14:textId="77777777" w:rsidR="00453F25" w:rsidRPr="00982440" w:rsidRDefault="00453F25" w:rsidP="00A7708A">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3082B91F" w14:textId="77777777" w:rsidR="00453F25" w:rsidRPr="00982440" w:rsidRDefault="00453F25" w:rsidP="00A7708A">
            <w:pPr>
              <w:pStyle w:val="ad"/>
              <w:ind w:left="34"/>
              <w:jc w:val="both"/>
              <w:rPr>
                <w:sz w:val="20"/>
                <w:szCs w:val="20"/>
              </w:rPr>
            </w:pPr>
            <w:r w:rsidRPr="00982440">
              <w:rPr>
                <w:rFonts w:ascii="Verdana" w:hAnsi="Verdana"/>
                <w:sz w:val="20"/>
                <w:szCs w:val="20"/>
              </w:rPr>
              <w:t> </w:t>
            </w:r>
          </w:p>
          <w:p w14:paraId="22049D79" w14:textId="77777777" w:rsidR="00453F25" w:rsidRPr="00982440" w:rsidRDefault="00453F25" w:rsidP="00A7708A">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261A022D" w14:textId="77777777" w:rsidR="00453F25" w:rsidRPr="00982440" w:rsidRDefault="00453F25" w:rsidP="00A7708A">
            <w:pPr>
              <w:pStyle w:val="ad"/>
              <w:ind w:left="1515"/>
              <w:rPr>
                <w:sz w:val="20"/>
                <w:szCs w:val="20"/>
              </w:rPr>
            </w:pPr>
            <w:r w:rsidRPr="00982440">
              <w:rPr>
                <w:rFonts w:ascii="Verdana" w:hAnsi="Verdana"/>
                <w:color w:val="000000"/>
                <w:sz w:val="20"/>
                <w:szCs w:val="20"/>
                <w:lang w:eastAsia="ru-RU"/>
              </w:rPr>
              <w:t> </w:t>
            </w:r>
          </w:p>
        </w:tc>
      </w:tr>
      <w:tr w:rsidR="00453F25" w:rsidRPr="00982440" w14:paraId="1E9A96A9" w14:textId="77777777" w:rsidTr="00A7708A">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726072DF" w14:textId="77777777" w:rsidR="00453F25" w:rsidRPr="00982440" w:rsidRDefault="00453F25" w:rsidP="00A7708A">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923BC7C" w14:textId="77777777" w:rsidR="00453F25" w:rsidRPr="00982440" w:rsidRDefault="00453F25" w:rsidP="00A7708A">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6B02DB67" w14:textId="77777777" w:rsidR="00453F25" w:rsidRPr="00982440" w:rsidRDefault="00453F25" w:rsidP="00A7708A">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67A7F015" w14:textId="77777777" w:rsidR="00453F25" w:rsidRPr="00982440" w:rsidRDefault="00453F25" w:rsidP="00A7708A">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0B24499" w14:textId="77777777" w:rsidR="00453F25" w:rsidRPr="00982440" w:rsidRDefault="00453F25" w:rsidP="00A7708A">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41FE7BCC" w14:textId="77777777" w:rsidR="00453F25" w:rsidRPr="00982440" w:rsidRDefault="00453F25" w:rsidP="00A7708A">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5AE00F42" w14:textId="77777777" w:rsidR="00453F25" w:rsidRPr="00982440" w:rsidRDefault="00453F25" w:rsidP="00A7708A">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60B6421F" w14:textId="77777777" w:rsidR="00453F25" w:rsidRPr="00982440" w:rsidRDefault="00453F25" w:rsidP="00A7708A">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B1395B9" w14:textId="77777777" w:rsidR="00453F25" w:rsidRPr="00982440" w:rsidRDefault="00453F25" w:rsidP="00A7708A">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4963BAB7" w14:textId="77777777" w:rsidR="00453F25" w:rsidRPr="00982440" w:rsidRDefault="00453F25" w:rsidP="00A7708A">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11FED686" w14:textId="77777777" w:rsidR="00453F25" w:rsidRPr="00982440" w:rsidRDefault="00453F25" w:rsidP="00A7708A">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8789690" w14:textId="77777777" w:rsidR="00453F25" w:rsidRPr="00982440" w:rsidRDefault="00453F25" w:rsidP="00A7708A">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 возникшего из договора аренды (лизинга);</w:t>
            </w:r>
          </w:p>
          <w:p w14:paraId="453501E1" w14:textId="77777777" w:rsidR="00453F25" w:rsidRPr="00982440" w:rsidRDefault="00453F25" w:rsidP="00A7708A">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1D96006A" w14:textId="77777777" w:rsidR="00453F25" w:rsidRPr="00982440" w:rsidRDefault="00453F25" w:rsidP="00A7708A">
            <w:pPr>
              <w:pStyle w:val="ad"/>
              <w:ind w:left="795"/>
              <w:jc w:val="both"/>
              <w:rPr>
                <w:sz w:val="20"/>
                <w:szCs w:val="20"/>
              </w:rPr>
            </w:pPr>
            <w:r w:rsidRPr="00982440">
              <w:rPr>
                <w:rFonts w:ascii="Verdana" w:hAnsi="Verdana"/>
                <w:color w:val="000000"/>
                <w:sz w:val="20"/>
                <w:szCs w:val="20"/>
                <w:lang w:eastAsia="ru-RU"/>
              </w:rPr>
              <w:t> </w:t>
            </w:r>
          </w:p>
        </w:tc>
      </w:tr>
      <w:tr w:rsidR="00453F25" w:rsidRPr="00982440" w14:paraId="1B37411D" w14:textId="77777777" w:rsidTr="00A7708A">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B92950E" w14:textId="77777777" w:rsidR="00453F25" w:rsidRPr="00982440" w:rsidRDefault="00453F25" w:rsidP="00A7708A">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316D14C0" w14:textId="77777777" w:rsidR="00453F25" w:rsidRPr="00982440" w:rsidRDefault="00453F25" w:rsidP="00A7708A">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40C1DB59" w14:textId="77777777" w:rsidR="00453F25" w:rsidRPr="00982440" w:rsidRDefault="00453F25" w:rsidP="00A7708A">
            <w:pPr>
              <w:jc w:val="both"/>
              <w:rPr>
                <w:sz w:val="20"/>
                <w:szCs w:val="20"/>
              </w:rPr>
            </w:pPr>
            <w:r w:rsidRPr="00982440">
              <w:rPr>
                <w:rFonts w:ascii="Verdana" w:hAnsi="Verdana"/>
                <w:color w:val="000000"/>
                <w:sz w:val="20"/>
                <w:szCs w:val="20"/>
                <w:lang w:eastAsia="ru-RU"/>
              </w:rPr>
              <w:t> </w:t>
            </w:r>
          </w:p>
          <w:p w14:paraId="6808B7C0" w14:textId="77777777" w:rsidR="00453F25" w:rsidRPr="00982440" w:rsidRDefault="00453F25" w:rsidP="00A7708A">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17E3976" w14:textId="77777777" w:rsidR="00453F25" w:rsidRPr="00982440" w:rsidRDefault="00453F25" w:rsidP="00A7708A">
            <w:pPr>
              <w:jc w:val="both"/>
              <w:rPr>
                <w:sz w:val="20"/>
                <w:szCs w:val="20"/>
              </w:rPr>
            </w:pPr>
            <w:r w:rsidRPr="00982440">
              <w:rPr>
                <w:rFonts w:ascii="Verdana" w:hAnsi="Verdana"/>
                <w:color w:val="000000"/>
                <w:sz w:val="20"/>
                <w:szCs w:val="20"/>
                <w:lang w:eastAsia="ru-RU"/>
              </w:rPr>
              <w:t> </w:t>
            </w:r>
          </w:p>
          <w:p w14:paraId="526F2F3F" w14:textId="77777777" w:rsidR="00453F25" w:rsidRPr="00982440" w:rsidRDefault="00453F25" w:rsidP="00A7708A">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0E745364" w14:textId="77777777" w:rsidR="00453F25" w:rsidRPr="00982440" w:rsidRDefault="00453F25" w:rsidP="00A7708A">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1FAFCC17" w14:textId="77777777" w:rsidR="00453F25" w:rsidRPr="00982440" w:rsidRDefault="00453F25" w:rsidP="00A7708A">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6356101" w14:textId="77777777" w:rsidR="00453F25" w:rsidRPr="00982440" w:rsidRDefault="00453F25" w:rsidP="00A7708A">
            <w:pPr>
              <w:pStyle w:val="ad"/>
              <w:ind w:left="34"/>
              <w:jc w:val="both"/>
              <w:rPr>
                <w:sz w:val="20"/>
                <w:szCs w:val="20"/>
              </w:rPr>
            </w:pPr>
            <w:r w:rsidRPr="00982440">
              <w:rPr>
                <w:rFonts w:ascii="Verdana" w:hAnsi="Verdana"/>
                <w:sz w:val="20"/>
                <w:szCs w:val="20"/>
              </w:rPr>
              <w:t> </w:t>
            </w:r>
          </w:p>
          <w:p w14:paraId="38D72440" w14:textId="77777777" w:rsidR="00453F25" w:rsidRPr="00982440" w:rsidRDefault="00453F25" w:rsidP="00A7708A">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309690A1" w14:textId="77777777" w:rsidR="00453F25" w:rsidRPr="00982440" w:rsidRDefault="00453F25" w:rsidP="00A7708A">
            <w:pPr>
              <w:jc w:val="both"/>
              <w:rPr>
                <w:sz w:val="20"/>
                <w:szCs w:val="20"/>
              </w:rPr>
            </w:pPr>
            <w:r w:rsidRPr="00982440">
              <w:rPr>
                <w:rFonts w:ascii="Verdana" w:hAnsi="Verdana"/>
                <w:color w:val="000000"/>
                <w:sz w:val="20"/>
                <w:szCs w:val="20"/>
                <w:lang w:eastAsia="ru-RU"/>
              </w:rPr>
              <w:t> </w:t>
            </w:r>
          </w:p>
        </w:tc>
      </w:tr>
      <w:tr w:rsidR="00453F25" w:rsidRPr="00353BB0" w14:paraId="2DE4C64D" w14:textId="77777777" w:rsidTr="00A7708A">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1C9BA19" w14:textId="77777777" w:rsidR="00453F25" w:rsidRPr="00982440" w:rsidRDefault="00453F25" w:rsidP="00A7708A">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22F50C47" w14:textId="77777777" w:rsidR="00453F25" w:rsidRPr="00353BB0" w:rsidRDefault="00453F25" w:rsidP="00A7708A">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211F6C8C" w14:textId="3434998A" w:rsidR="00872436" w:rsidRPr="008C753E" w:rsidRDefault="00872436" w:rsidP="00A2330C">
      <w:pPr>
        <w:pStyle w:val="11"/>
        <w:numPr>
          <w:ilvl w:val="0"/>
          <w:numId w:val="0"/>
        </w:numPr>
        <w:ind w:left="432"/>
        <w:jc w:val="left"/>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A7708A" w:rsidRDefault="00A7708A" w:rsidP="0095677F">
      <w:pPr>
        <w:spacing w:after="0" w:line="240" w:lineRule="auto"/>
      </w:pPr>
      <w:r>
        <w:separator/>
      </w:r>
    </w:p>
  </w:endnote>
  <w:endnote w:type="continuationSeparator" w:id="0">
    <w:p w14:paraId="68014C06" w14:textId="77777777" w:rsidR="00A7708A" w:rsidRDefault="00A7708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02B948CB" w:rsidR="00A7708A" w:rsidRDefault="00A7708A">
    <w:pPr>
      <w:pStyle w:val="afd"/>
      <w:jc w:val="right"/>
    </w:pPr>
    <w:r>
      <w:fldChar w:fldCharType="begin"/>
    </w:r>
    <w:r>
      <w:instrText xml:space="preserve"> PAGE   \* MERGEFORMAT </w:instrText>
    </w:r>
    <w:r>
      <w:fldChar w:fldCharType="separate"/>
    </w:r>
    <w:r>
      <w:rPr>
        <w:noProof/>
      </w:rPr>
      <w:t>5</w:t>
    </w:r>
    <w:r>
      <w:rPr>
        <w:noProof/>
      </w:rPr>
      <w:fldChar w:fldCharType="end"/>
    </w:r>
  </w:p>
  <w:p w14:paraId="59E19FB5" w14:textId="77777777" w:rsidR="00A7708A" w:rsidRDefault="00A7708A">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A7708A" w:rsidRDefault="00A7708A" w:rsidP="0095677F">
      <w:pPr>
        <w:spacing w:after="0" w:line="240" w:lineRule="auto"/>
      </w:pPr>
      <w:r>
        <w:separator/>
      </w:r>
    </w:p>
  </w:footnote>
  <w:footnote w:type="continuationSeparator" w:id="0">
    <w:p w14:paraId="7346425D" w14:textId="77777777" w:rsidR="00A7708A" w:rsidRDefault="00A7708A" w:rsidP="0095677F">
      <w:pPr>
        <w:spacing w:after="0" w:line="240" w:lineRule="auto"/>
      </w:pPr>
      <w:r>
        <w:continuationSeparator/>
      </w:r>
    </w:p>
  </w:footnote>
  <w:footnote w:id="1">
    <w:p w14:paraId="49B6B11E" w14:textId="77777777" w:rsidR="00A7708A" w:rsidRDefault="00A7708A"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A7708A" w:rsidRDefault="00A7708A"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A7708A" w:rsidRDefault="00A7708A"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A7708A" w:rsidRDefault="00A7708A" w:rsidP="00A70D14">
      <w:pPr>
        <w:pStyle w:val="af3"/>
        <w:rPr>
          <w:sz w:val="18"/>
          <w:szCs w:val="18"/>
        </w:rPr>
      </w:pPr>
    </w:p>
  </w:footnote>
  <w:footnote w:id="4">
    <w:p w14:paraId="364ADE52" w14:textId="77777777" w:rsidR="00A7708A" w:rsidRDefault="00A7708A"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A7708A" w:rsidRDefault="00A7708A"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A7708A" w:rsidRDefault="00A7708A"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A7708A" w:rsidRDefault="00A7708A"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A7708A" w:rsidRDefault="00A7708A"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A7708A" w:rsidRDefault="00A7708A"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A7708A" w:rsidRDefault="00A7708A"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A7708A" w:rsidRDefault="00A7708A"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A7708A" w:rsidRDefault="00A7708A"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A7708A" w:rsidRDefault="00A7708A"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A7708A" w:rsidRDefault="00A7708A"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A7708A" w:rsidRDefault="00A7708A"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A7708A" w:rsidRDefault="00A7708A"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A7708A" w:rsidRDefault="00A7708A"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A7708A" w:rsidRDefault="00A7708A"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A7708A" w:rsidRDefault="00A7708A"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A7708A" w:rsidRDefault="00A7708A">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F447BA8" w:rsidR="00A7708A" w:rsidRPr="00FE471A" w:rsidRDefault="00A7708A"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0148C5E9" w:rsidR="00A7708A" w:rsidRPr="00D40C3F" w:rsidRDefault="00A7708A">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A7708A" w:rsidRDefault="00A7708A">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A7708A" w:rsidRDefault="00A7708A">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A7708A" w:rsidRDefault="00A7708A"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A7708A" w:rsidRDefault="00A7708A">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A7708A" w:rsidRDefault="00A7708A"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A7708A" w:rsidRPr="00F052EE" w:rsidRDefault="00A7708A"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A7708A" w:rsidRPr="00F34832" w:rsidRDefault="00A7708A"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A7708A" w:rsidRDefault="00A7708A"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A7708A" w:rsidRDefault="00A7708A" w:rsidP="006857BB">
      <w:pPr>
        <w:pStyle w:val="af3"/>
      </w:pPr>
      <w:r>
        <w:rPr>
          <w:rStyle w:val="af5"/>
        </w:rPr>
        <w:footnoteRef/>
      </w:r>
      <w:r>
        <w:t xml:space="preserve"> Кроме случаев </w:t>
      </w:r>
    </w:p>
    <w:p w14:paraId="5A8A6BB7" w14:textId="77777777" w:rsidR="00A7708A" w:rsidRDefault="00A7708A"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A7708A" w:rsidRPr="00E2653F" w:rsidRDefault="00A7708A"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A7708A" w:rsidRDefault="00A7708A"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A7708A" w:rsidRDefault="00A7708A"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A7708A" w:rsidRPr="004A23A3" w:rsidRDefault="00A7708A"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A7708A" w:rsidRDefault="00A7708A"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A7708A" w:rsidRDefault="00A7708A"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A7708A" w:rsidRDefault="00A7708A">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A7708A" w:rsidRDefault="00A7708A"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A7708A" w:rsidRDefault="00A7708A" w:rsidP="006857BB">
      <w:pPr>
        <w:pStyle w:val="af3"/>
      </w:pPr>
    </w:p>
  </w:footnote>
  <w:footnote w:id="38">
    <w:p w14:paraId="06251C86" w14:textId="6B05A01C" w:rsidR="00A7708A" w:rsidRDefault="00A7708A">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A7708A" w:rsidRDefault="00A7708A"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A7708A" w:rsidRDefault="00A7708A" w:rsidP="0044788B">
      <w:pPr>
        <w:pStyle w:val="af3"/>
      </w:pPr>
      <w:r>
        <w:rPr>
          <w:rStyle w:val="af5"/>
        </w:rPr>
        <w:footnoteRef/>
      </w:r>
      <w:r>
        <w:t xml:space="preserve"> Например, гостиницы, хостелы и т.п.</w:t>
      </w:r>
    </w:p>
  </w:footnote>
  <w:footnote w:id="41">
    <w:p w14:paraId="120903C2" w14:textId="5D934C39" w:rsidR="00A7708A" w:rsidRDefault="00A7708A">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A7708A" w:rsidRDefault="00A7708A">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A7708A" w:rsidRPr="00F53644" w:rsidRDefault="00A7708A">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64D78329" w14:textId="77777777" w:rsidR="0016395B" w:rsidRPr="00987453" w:rsidRDefault="0016395B" w:rsidP="0016395B">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ACF96EF" w14:textId="77777777" w:rsidR="0016395B" w:rsidRPr="00987453" w:rsidRDefault="0016395B" w:rsidP="0016395B">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8DE1CE6" w14:textId="77777777" w:rsidR="0016395B" w:rsidRDefault="0016395B" w:rsidP="0016395B">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0C0787BD" w14:textId="77777777" w:rsidR="0016395B" w:rsidRPr="00987453" w:rsidRDefault="0016395B" w:rsidP="0016395B">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A7708A" w:rsidRPr="00987453" w:rsidRDefault="00A7708A"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A7708A" w:rsidRPr="00987453" w:rsidRDefault="00A7708A"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A7708A" w:rsidRDefault="00A7708A"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A7708A" w:rsidRDefault="00A7708A"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4"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6"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9"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0"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1"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7"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8"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0"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7"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9"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2"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6"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0"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4"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5"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6"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4"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9"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3"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6"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3"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5"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7"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5"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6"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2"/>
  </w:num>
  <w:num w:numId="2">
    <w:abstractNumId w:val="61"/>
  </w:num>
  <w:num w:numId="3">
    <w:abstractNumId w:val="24"/>
  </w:num>
  <w:num w:numId="4">
    <w:abstractNumId w:val="152"/>
  </w:num>
  <w:num w:numId="5">
    <w:abstractNumId w:val="105"/>
  </w:num>
  <w:num w:numId="6">
    <w:abstractNumId w:val="91"/>
  </w:num>
  <w:num w:numId="7">
    <w:abstractNumId w:val="12"/>
  </w:num>
  <w:num w:numId="8">
    <w:abstractNumId w:val="4"/>
  </w:num>
  <w:num w:numId="9">
    <w:abstractNumId w:val="28"/>
  </w:num>
  <w:num w:numId="10">
    <w:abstractNumId w:val="154"/>
  </w:num>
  <w:num w:numId="11">
    <w:abstractNumId w:val="158"/>
  </w:num>
  <w:num w:numId="12">
    <w:abstractNumId w:val="37"/>
  </w:num>
  <w:num w:numId="13">
    <w:abstractNumId w:val="108"/>
  </w:num>
  <w:num w:numId="14">
    <w:abstractNumId w:val="113"/>
  </w:num>
  <w:num w:numId="15">
    <w:abstractNumId w:val="25"/>
  </w:num>
  <w:num w:numId="16">
    <w:abstractNumId w:val="94"/>
  </w:num>
  <w:num w:numId="17">
    <w:abstractNumId w:val="175"/>
  </w:num>
  <w:num w:numId="18">
    <w:abstractNumId w:val="85"/>
  </w:num>
  <w:num w:numId="19">
    <w:abstractNumId w:val="157"/>
  </w:num>
  <w:num w:numId="20">
    <w:abstractNumId w:val="53"/>
  </w:num>
  <w:num w:numId="21">
    <w:abstractNumId w:val="170"/>
  </w:num>
  <w:num w:numId="22">
    <w:abstractNumId w:val="73"/>
  </w:num>
  <w:num w:numId="23">
    <w:abstractNumId w:val="136"/>
  </w:num>
  <w:num w:numId="24">
    <w:abstractNumId w:val="21"/>
  </w:num>
  <w:num w:numId="25">
    <w:abstractNumId w:val="133"/>
  </w:num>
  <w:num w:numId="26">
    <w:abstractNumId w:val="129"/>
  </w:num>
  <w:num w:numId="27">
    <w:abstractNumId w:val="48"/>
  </w:num>
  <w:num w:numId="28">
    <w:abstractNumId w:val="50"/>
  </w:num>
  <w:num w:numId="29">
    <w:abstractNumId w:val="109"/>
  </w:num>
  <w:num w:numId="30">
    <w:abstractNumId w:val="74"/>
  </w:num>
  <w:num w:numId="31">
    <w:abstractNumId w:val="131"/>
  </w:num>
  <w:num w:numId="32">
    <w:abstractNumId w:val="176"/>
  </w:num>
  <w:num w:numId="33">
    <w:abstractNumId w:val="101"/>
  </w:num>
  <w:num w:numId="34">
    <w:abstractNumId w:val="79"/>
  </w:num>
  <w:num w:numId="35">
    <w:abstractNumId w:val="178"/>
  </w:num>
  <w:num w:numId="36">
    <w:abstractNumId w:val="165"/>
  </w:num>
  <w:num w:numId="37">
    <w:abstractNumId w:val="110"/>
  </w:num>
  <w:num w:numId="38">
    <w:abstractNumId w:val="171"/>
  </w:num>
  <w:num w:numId="39">
    <w:abstractNumId w:val="128"/>
  </w:num>
  <w:num w:numId="40">
    <w:abstractNumId w:val="17"/>
  </w:num>
  <w:num w:numId="41">
    <w:abstractNumId w:val="49"/>
  </w:num>
  <w:num w:numId="42">
    <w:abstractNumId w:val="125"/>
  </w:num>
  <w:num w:numId="43">
    <w:abstractNumId w:val="58"/>
  </w:num>
  <w:num w:numId="44">
    <w:abstractNumId w:val="151"/>
  </w:num>
  <w:num w:numId="45">
    <w:abstractNumId w:val="150"/>
  </w:num>
  <w:num w:numId="46">
    <w:abstractNumId w:val="86"/>
  </w:num>
  <w:num w:numId="47">
    <w:abstractNumId w:val="26"/>
  </w:num>
  <w:num w:numId="48">
    <w:abstractNumId w:val="117"/>
  </w:num>
  <w:num w:numId="49">
    <w:abstractNumId w:val="72"/>
  </w:num>
  <w:num w:numId="50">
    <w:abstractNumId w:val="177"/>
  </w:num>
  <w:num w:numId="51">
    <w:abstractNumId w:val="57"/>
  </w:num>
  <w:num w:numId="52">
    <w:abstractNumId w:val="144"/>
  </w:num>
  <w:num w:numId="53">
    <w:abstractNumId w:val="16"/>
  </w:num>
  <w:num w:numId="54">
    <w:abstractNumId w:val="47"/>
  </w:num>
  <w:num w:numId="55">
    <w:abstractNumId w:val="8"/>
  </w:num>
  <w:num w:numId="56">
    <w:abstractNumId w:val="40"/>
  </w:num>
  <w:num w:numId="57">
    <w:abstractNumId w:val="78"/>
  </w:num>
  <w:num w:numId="58">
    <w:abstractNumId w:val="156"/>
  </w:num>
  <w:num w:numId="59">
    <w:abstractNumId w:val="140"/>
  </w:num>
  <w:num w:numId="60">
    <w:abstractNumId w:val="0"/>
  </w:num>
  <w:num w:numId="61">
    <w:abstractNumId w:val="92"/>
  </w:num>
  <w:num w:numId="62">
    <w:abstractNumId w:val="119"/>
  </w:num>
  <w:num w:numId="63">
    <w:abstractNumId w:val="71"/>
  </w:num>
  <w:num w:numId="64">
    <w:abstractNumId w:val="155"/>
  </w:num>
  <w:num w:numId="65">
    <w:abstractNumId w:val="75"/>
  </w:num>
  <w:num w:numId="66">
    <w:abstractNumId w:val="90"/>
  </w:num>
  <w:num w:numId="67">
    <w:abstractNumId w:val="148"/>
  </w:num>
  <w:num w:numId="68">
    <w:abstractNumId w:val="112"/>
  </w:num>
  <w:num w:numId="69">
    <w:abstractNumId w:val="56"/>
  </w:num>
  <w:num w:numId="70">
    <w:abstractNumId w:val="1"/>
  </w:num>
  <w:num w:numId="71">
    <w:abstractNumId w:val="121"/>
  </w:num>
  <w:num w:numId="72">
    <w:abstractNumId w:val="15"/>
  </w:num>
  <w:num w:numId="73">
    <w:abstractNumId w:val="31"/>
  </w:num>
  <w:num w:numId="74">
    <w:abstractNumId w:val="98"/>
  </w:num>
  <w:num w:numId="75">
    <w:abstractNumId w:val="54"/>
  </w:num>
  <w:num w:numId="76">
    <w:abstractNumId w:val="179"/>
  </w:num>
  <w:num w:numId="77">
    <w:abstractNumId w:val="34"/>
  </w:num>
  <w:num w:numId="7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7"/>
  </w:num>
  <w:num w:numId="80">
    <w:abstractNumId w:val="82"/>
  </w:num>
  <w:num w:numId="81">
    <w:abstractNumId w:val="2"/>
  </w:num>
  <w:num w:numId="82">
    <w:abstractNumId w:val="138"/>
  </w:num>
  <w:num w:numId="83">
    <w:abstractNumId w:val="10"/>
  </w:num>
  <w:num w:numId="84">
    <w:abstractNumId w:val="95"/>
  </w:num>
  <w:num w:numId="85">
    <w:abstractNumId w:val="70"/>
  </w:num>
  <w:num w:numId="86">
    <w:abstractNumId w:val="7"/>
  </w:num>
  <w:num w:numId="87">
    <w:abstractNumId w:val="168"/>
  </w:num>
  <w:num w:numId="88">
    <w:abstractNumId w:val="135"/>
  </w:num>
  <w:num w:numId="89">
    <w:abstractNumId w:val="29"/>
  </w:num>
  <w:num w:numId="90">
    <w:abstractNumId w:val="9"/>
  </w:num>
  <w:num w:numId="91">
    <w:abstractNumId w:val="60"/>
  </w:num>
  <w:num w:numId="92">
    <w:abstractNumId w:val="36"/>
  </w:num>
  <w:num w:numId="93">
    <w:abstractNumId w:val="59"/>
  </w:num>
  <w:num w:numId="94">
    <w:abstractNumId w:val="174"/>
  </w:num>
  <w:num w:numId="95">
    <w:abstractNumId w:val="145"/>
  </w:num>
  <w:num w:numId="96">
    <w:abstractNumId w:val="100"/>
  </w:num>
  <w:num w:numId="97">
    <w:abstractNumId w:val="103"/>
  </w:num>
  <w:num w:numId="98">
    <w:abstractNumId w:val="159"/>
  </w:num>
  <w:num w:numId="99">
    <w:abstractNumId w:val="52"/>
  </w:num>
  <w:num w:numId="100">
    <w:abstractNumId w:val="122"/>
  </w:num>
  <w:num w:numId="101">
    <w:abstractNumId w:val="63"/>
  </w:num>
  <w:num w:numId="102">
    <w:abstractNumId w:val="87"/>
  </w:num>
  <w:num w:numId="103">
    <w:abstractNumId w:val="169"/>
  </w:num>
  <w:num w:numId="104">
    <w:abstractNumId w:val="126"/>
  </w:num>
  <w:num w:numId="105">
    <w:abstractNumId w:val="163"/>
  </w:num>
  <w:num w:numId="106">
    <w:abstractNumId w:val="51"/>
  </w:num>
  <w:num w:numId="107">
    <w:abstractNumId w:val="142"/>
  </w:num>
  <w:num w:numId="108">
    <w:abstractNumId w:val="84"/>
  </w:num>
  <w:num w:numId="1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24"/>
  </w:num>
  <w:num w:numId="112">
    <w:abstractNumId w:val="55"/>
  </w:num>
  <w:num w:numId="113">
    <w:abstractNumId w:val="30"/>
  </w:num>
  <w:num w:numId="114">
    <w:abstractNumId w:val="80"/>
  </w:num>
  <w:num w:numId="115">
    <w:abstractNumId w:val="175"/>
  </w:num>
  <w:num w:numId="116">
    <w:abstractNumId w:val="175"/>
  </w:num>
  <w:num w:numId="117">
    <w:abstractNumId w:val="175"/>
  </w:num>
  <w:num w:numId="118">
    <w:abstractNumId w:val="175"/>
  </w:num>
  <w:num w:numId="119">
    <w:abstractNumId w:val="175"/>
  </w:num>
  <w:num w:numId="120">
    <w:abstractNumId w:val="175"/>
  </w:num>
  <w:num w:numId="121">
    <w:abstractNumId w:val="175"/>
  </w:num>
  <w:num w:numId="122">
    <w:abstractNumId w:val="175"/>
  </w:num>
  <w:num w:numId="123">
    <w:abstractNumId w:val="175"/>
  </w:num>
  <w:num w:numId="124">
    <w:abstractNumId w:val="173"/>
  </w:num>
  <w:num w:numId="12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num>
  <w:num w:numId="129">
    <w:abstractNumId w:val="146"/>
  </w:num>
  <w:num w:numId="130">
    <w:abstractNumId w:val="88"/>
  </w:num>
  <w:num w:numId="131">
    <w:abstractNumId w:val="6"/>
  </w:num>
  <w:num w:numId="132">
    <w:abstractNumId w:val="69"/>
  </w:num>
  <w:num w:numId="133">
    <w:abstractNumId w:val="5"/>
  </w:num>
  <w:num w:numId="1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6"/>
  </w:num>
  <w:num w:numId="1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num>
  <w:num w:numId="138">
    <w:abstractNumId w:val="99"/>
  </w:num>
  <w:num w:numId="139">
    <w:abstractNumId w:val="20"/>
  </w:num>
  <w:num w:numId="140">
    <w:abstractNumId w:val="114"/>
  </w:num>
  <w:num w:numId="141">
    <w:abstractNumId w:val="77"/>
  </w:num>
  <w:num w:numId="142">
    <w:abstractNumId w:val="172"/>
  </w:num>
  <w:num w:numId="143">
    <w:abstractNumId w:val="3"/>
  </w:num>
  <w:num w:numId="144">
    <w:abstractNumId w:val="67"/>
  </w:num>
  <w:num w:numId="145">
    <w:abstractNumId w:val="147"/>
  </w:num>
  <w:num w:numId="146">
    <w:abstractNumId w:val="65"/>
  </w:num>
  <w:num w:numId="147">
    <w:abstractNumId w:val="130"/>
  </w:num>
  <w:num w:numId="148">
    <w:abstractNumId w:val="162"/>
  </w:num>
  <w:num w:numId="149">
    <w:abstractNumId w:val="97"/>
  </w:num>
  <w:num w:numId="150">
    <w:abstractNumId w:val="96"/>
  </w:num>
  <w:num w:numId="151">
    <w:abstractNumId w:val="39"/>
  </w:num>
  <w:num w:numId="152">
    <w:abstractNumId w:val="149"/>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07"/>
  </w:num>
  <w:num w:numId="156">
    <w:abstractNumId w:val="123"/>
  </w:num>
  <w:num w:numId="157">
    <w:abstractNumId w:val="106"/>
  </w:num>
  <w:num w:numId="158">
    <w:abstractNumId w:val="104"/>
  </w:num>
  <w:num w:numId="159">
    <w:abstractNumId w:val="18"/>
  </w:num>
  <w:num w:numId="160">
    <w:abstractNumId w:val="68"/>
  </w:num>
  <w:num w:numId="161">
    <w:abstractNumId w:val="45"/>
  </w:num>
  <w:num w:numId="162">
    <w:abstractNumId w:val="115"/>
  </w:num>
  <w:num w:numId="163">
    <w:abstractNumId w:val="93"/>
  </w:num>
  <w:num w:numId="164">
    <w:abstractNumId w:val="64"/>
  </w:num>
  <w:num w:numId="165">
    <w:abstractNumId w:val="143"/>
  </w:num>
  <w:num w:numId="166">
    <w:abstractNumId w:val="81"/>
  </w:num>
  <w:num w:numId="167">
    <w:abstractNumId w:val="46"/>
  </w:num>
  <w:num w:numId="168">
    <w:abstractNumId w:val="160"/>
  </w:num>
  <w:num w:numId="169">
    <w:abstractNumId w:val="66"/>
  </w:num>
  <w:num w:numId="170">
    <w:abstractNumId w:val="27"/>
  </w:num>
  <w:num w:numId="171">
    <w:abstractNumId w:val="161"/>
  </w:num>
  <w:num w:numId="172">
    <w:abstractNumId w:val="42"/>
  </w:num>
  <w:num w:numId="173">
    <w:abstractNumId w:val="32"/>
  </w:num>
  <w:num w:numId="174">
    <w:abstractNumId w:val="164"/>
  </w:num>
  <w:num w:numId="175">
    <w:abstractNumId w:val="167"/>
  </w:num>
  <w:num w:numId="176">
    <w:abstractNumId w:val="127"/>
  </w:num>
  <w:num w:numId="177">
    <w:abstractNumId w:val="11"/>
  </w:num>
  <w:num w:numId="178">
    <w:abstractNumId w:val="116"/>
  </w:num>
  <w:num w:numId="179">
    <w:abstractNumId w:val="83"/>
  </w:num>
  <w:num w:numId="180">
    <w:abstractNumId w:val="33"/>
  </w:num>
  <w:num w:numId="181">
    <w:abstractNumId w:val="139"/>
  </w:num>
  <w:num w:numId="182">
    <w:abstractNumId w:val="14"/>
  </w:num>
  <w:num w:numId="183">
    <w:abstractNumId w:val="134"/>
  </w:num>
  <w:num w:numId="184">
    <w:abstractNumId w:val="120"/>
  </w:num>
  <w:num w:numId="185">
    <w:abstractNumId w:val="41"/>
  </w:num>
  <w:num w:numId="186">
    <w:abstractNumId w:val="23"/>
  </w:num>
  <w:num w:numId="187">
    <w:abstractNumId w:val="43"/>
  </w:num>
  <w:num w:numId="188">
    <w:abstractNumId w:val="153"/>
  </w:num>
  <w:num w:numId="189">
    <w:abstractNumId w:val="19"/>
  </w:num>
  <w:num w:numId="190">
    <w:abstractNumId w:val="44"/>
  </w:num>
  <w:num w:numId="191">
    <w:abstractNumId w:val="141"/>
  </w:num>
  <w:num w:numId="192">
    <w:abstractNumId w:val="10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4BB6"/>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57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589"/>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5B"/>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9E"/>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075"/>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77"/>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3F3"/>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3F25"/>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07A"/>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543"/>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0D34"/>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111"/>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06"/>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57"/>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0DDA"/>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0C"/>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1C6E"/>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08A"/>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4DFC"/>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0D"/>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42F"/>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432"/>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D7DE3"/>
    <w:rsid w:val="00EE00C9"/>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775"/>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3" Type="http://schemas.openxmlformats.org/officeDocument/2006/relationships/styles" Target="styles.xm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EA133-1B1F-41AE-98F7-5ACB523D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113</Pages>
  <Words>49618</Words>
  <Characters>282824</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44</cp:revision>
  <cp:lastPrinted>2021-12-13T09:51:00Z</cp:lastPrinted>
  <dcterms:created xsi:type="dcterms:W3CDTF">2023-09-15T07:02:00Z</dcterms:created>
  <dcterms:modified xsi:type="dcterms:W3CDTF">2026-03-12T12:22:00Z</dcterms:modified>
</cp:coreProperties>
</file>